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r w:rsidRPr="00D43FC6">
        <w:rPr>
          <w:rFonts w:ascii="Bookman Old Style" w:eastAsia="Times New Roman" w:hAnsi="Bookman Old Style" w:cs="Arial"/>
          <w:sz w:val="24"/>
          <w:szCs w:val="24"/>
          <w:lang w:eastAsia="it-IT"/>
        </w:rPr>
        <w:t xml:space="preserve">                                                       </w:t>
      </w:r>
      <w:r>
        <w:rPr>
          <w:rFonts w:ascii="Bookman Old Style" w:eastAsia="Times New Roman" w:hAnsi="Bookman Old Style" w:cs="Arial"/>
          <w:noProof/>
          <w:sz w:val="24"/>
          <w:szCs w:val="24"/>
          <w:lang w:eastAsia="it-IT"/>
        </w:rPr>
        <w:drawing>
          <wp:inline distT="0" distB="0" distL="0" distR="0">
            <wp:extent cx="572770" cy="841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841375"/>
                    </a:xfrm>
                    <a:prstGeom prst="rect">
                      <a:avLst/>
                    </a:prstGeom>
                    <a:noFill/>
                  </pic:spPr>
                </pic:pic>
              </a:graphicData>
            </a:graphic>
          </wp:inline>
        </w:drawing>
      </w:r>
      <w:r w:rsidRPr="00D43FC6">
        <w:rPr>
          <w:rFonts w:ascii="Bookman Old Style" w:eastAsia="Times New Roman" w:hAnsi="Bookman Old Style" w:cs="Arial"/>
          <w:sz w:val="24"/>
          <w:szCs w:val="24"/>
          <w:lang w:eastAsia="it-IT"/>
        </w:rPr>
        <w:t xml:space="preserve">         </w:t>
      </w: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proofErr w:type="spellStart"/>
      <w:r w:rsidRPr="00D43FC6">
        <w:rPr>
          <w:rFonts w:ascii="Bookman Old Style" w:eastAsia="Times New Roman" w:hAnsi="Bookman Old Style" w:cs="Arial"/>
          <w:sz w:val="24"/>
          <w:szCs w:val="24"/>
          <w:lang w:eastAsia="it-IT"/>
        </w:rPr>
        <w:t>Prot</w:t>
      </w:r>
      <w:proofErr w:type="spellEnd"/>
      <w:r w:rsidRPr="00D43FC6">
        <w:rPr>
          <w:rFonts w:ascii="Bookman Old Style" w:eastAsia="Times New Roman" w:hAnsi="Bookman Old Style" w:cs="Arial"/>
          <w:sz w:val="24"/>
          <w:szCs w:val="24"/>
          <w:lang w:eastAsia="it-IT"/>
        </w:rPr>
        <w:t>. 76/VSG/SD</w:t>
      </w:r>
    </w:p>
    <w:p w:rsidR="00D43FC6" w:rsidRPr="00D43FC6" w:rsidRDefault="00D43FC6" w:rsidP="00D43FC6">
      <w:pPr>
        <w:spacing w:after="0" w:line="240" w:lineRule="auto"/>
        <w:rPr>
          <w:rFonts w:ascii="Bookman Old Style" w:eastAsia="Times New Roman" w:hAnsi="Bookman Old Style" w:cs="Arial"/>
          <w:sz w:val="24"/>
          <w:szCs w:val="24"/>
          <w:lang w:eastAsia="it-IT"/>
        </w:rPr>
      </w:pP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p>
    <w:p w:rsidR="00D43FC6" w:rsidRPr="00D43FC6" w:rsidRDefault="00D43FC6" w:rsidP="00D43FC6">
      <w:pPr>
        <w:spacing w:after="0" w:line="240" w:lineRule="auto"/>
        <w:rPr>
          <w:rFonts w:ascii="Bookman Old Style" w:eastAsia="Times New Roman" w:hAnsi="Bookman Old Style" w:cs="Arial"/>
          <w:sz w:val="24"/>
          <w:szCs w:val="24"/>
          <w:lang w:eastAsia="it-IT"/>
        </w:rPr>
      </w:pP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t>Roma, 19 ottobre 2018</w:t>
      </w:r>
    </w:p>
    <w:p w:rsidR="00D43FC6" w:rsidRPr="00D43FC6" w:rsidRDefault="00D43FC6" w:rsidP="00D43FC6">
      <w:pPr>
        <w:spacing w:after="0" w:line="240" w:lineRule="auto"/>
        <w:rPr>
          <w:rFonts w:ascii="Bookman Old Style" w:eastAsia="Times New Roman" w:hAnsi="Bookman Old Style" w:cs="Arial"/>
          <w:sz w:val="24"/>
          <w:szCs w:val="24"/>
          <w:lang w:eastAsia="it-IT"/>
        </w:rPr>
      </w:pP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r w:rsidRPr="00D43FC6">
        <w:rPr>
          <w:rFonts w:ascii="Bookman Old Style" w:eastAsia="Times New Roman" w:hAnsi="Bookman Old Style" w:cs="Arial"/>
          <w:sz w:val="24"/>
          <w:szCs w:val="24"/>
          <w:lang w:eastAsia="it-IT"/>
        </w:rPr>
        <w:tab/>
      </w: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B1F4A" w:rsidP="00D43FC6">
      <w:pPr>
        <w:spacing w:after="0" w:line="240" w:lineRule="auto"/>
        <w:ind w:left="1418" w:hanging="1418"/>
        <w:rPr>
          <w:rFonts w:ascii="Bookman Old Style" w:eastAsia="Times New Roman" w:hAnsi="Bookman Old Style" w:cs="Arial"/>
          <w:sz w:val="24"/>
          <w:szCs w:val="24"/>
          <w:lang w:eastAsia="it-IT"/>
        </w:rPr>
      </w:pPr>
      <w:r>
        <w:rPr>
          <w:rFonts w:ascii="Bookman Old Style" w:eastAsia="Times New Roman" w:hAnsi="Bookman Old Style" w:cs="Arial"/>
          <w:sz w:val="24"/>
          <w:szCs w:val="24"/>
          <w:lang w:eastAsia="it-IT"/>
        </w:rPr>
        <w:t xml:space="preserve">OGGETTO: </w:t>
      </w:r>
      <w:r>
        <w:rPr>
          <w:rFonts w:ascii="Bookman Old Style" w:eastAsia="Times New Roman" w:hAnsi="Bookman Old Style" w:cs="Arial"/>
          <w:sz w:val="24"/>
          <w:szCs w:val="24"/>
          <w:lang w:eastAsia="it-IT"/>
        </w:rPr>
        <w:tab/>
        <w:t>Nota operativa</w:t>
      </w:r>
      <w:r w:rsidR="00D43FC6" w:rsidRPr="00D43FC6">
        <w:rPr>
          <w:rFonts w:ascii="Bookman Old Style" w:eastAsia="Times New Roman" w:hAnsi="Bookman Old Style" w:cs="Arial"/>
          <w:sz w:val="24"/>
          <w:szCs w:val="24"/>
          <w:lang w:eastAsia="it-IT"/>
        </w:rPr>
        <w:t xml:space="preserve"> per l’utilizzo obbligatorio, dal 18</w:t>
      </w:r>
      <w:r w:rsidR="003819F7">
        <w:rPr>
          <w:rFonts w:ascii="Bookman Old Style" w:eastAsia="Times New Roman" w:hAnsi="Bookman Old Style" w:cs="Arial"/>
          <w:sz w:val="24"/>
          <w:szCs w:val="24"/>
          <w:lang w:eastAsia="it-IT"/>
        </w:rPr>
        <w:t xml:space="preserve"> ottobre</w:t>
      </w:r>
      <w:r>
        <w:rPr>
          <w:rFonts w:ascii="Bookman Old Style" w:eastAsia="Times New Roman" w:hAnsi="Bookman Old Style" w:cs="Arial"/>
          <w:sz w:val="24"/>
          <w:szCs w:val="24"/>
          <w:lang w:eastAsia="it-IT"/>
        </w:rPr>
        <w:t>,</w:t>
      </w:r>
      <w:r w:rsidR="00D43FC6" w:rsidRPr="00D43FC6">
        <w:rPr>
          <w:rFonts w:ascii="Bookman Old Style" w:eastAsia="Times New Roman" w:hAnsi="Bookman Old Style" w:cs="Arial"/>
          <w:sz w:val="24"/>
          <w:szCs w:val="24"/>
          <w:lang w:eastAsia="it-IT"/>
        </w:rPr>
        <w:t xml:space="preserve"> dei mez</w:t>
      </w:r>
      <w:r>
        <w:rPr>
          <w:rFonts w:ascii="Bookman Old Style" w:eastAsia="Times New Roman" w:hAnsi="Bookman Old Style" w:cs="Arial"/>
          <w:sz w:val="24"/>
          <w:szCs w:val="24"/>
          <w:lang w:eastAsia="it-IT"/>
        </w:rPr>
        <w:t>zi di comunicazione elettronici</w:t>
      </w: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D43FC6" w:rsidRDefault="00D43FC6" w:rsidP="00D43FC6">
      <w:pPr>
        <w:spacing w:after="0" w:line="240" w:lineRule="auto"/>
        <w:rPr>
          <w:rFonts w:ascii="Bookman Old Style" w:eastAsia="Times New Roman" w:hAnsi="Bookman Old Style" w:cs="Arial"/>
          <w:sz w:val="24"/>
          <w:szCs w:val="24"/>
          <w:lang w:eastAsia="it-IT"/>
        </w:rPr>
      </w:pPr>
    </w:p>
    <w:p w:rsidR="00D43FC6" w:rsidRPr="00C22372" w:rsidRDefault="00D43FC6" w:rsidP="00C22372">
      <w:pPr>
        <w:pStyle w:val="Paragrafoelenco"/>
        <w:numPr>
          <w:ilvl w:val="0"/>
          <w:numId w:val="3"/>
        </w:numPr>
        <w:spacing w:after="0" w:line="240" w:lineRule="auto"/>
        <w:rPr>
          <w:rFonts w:ascii="Bookman Old Style" w:eastAsia="Times New Roman" w:hAnsi="Bookman Old Style" w:cs="Arial"/>
          <w:b/>
          <w:sz w:val="24"/>
          <w:szCs w:val="24"/>
          <w:lang w:eastAsia="it-IT"/>
        </w:rPr>
      </w:pPr>
      <w:r w:rsidRPr="00C22372">
        <w:rPr>
          <w:rFonts w:ascii="Bookman Old Style" w:eastAsia="Times New Roman" w:hAnsi="Bookman Old Style" w:cs="Arial"/>
          <w:b/>
          <w:sz w:val="24"/>
          <w:szCs w:val="24"/>
          <w:lang w:eastAsia="it-IT"/>
        </w:rPr>
        <w:t>Inquadramento normativo</w:t>
      </w:r>
    </w:p>
    <w:p w:rsidR="00D43FC6" w:rsidRPr="00D43FC6" w:rsidRDefault="00D43FC6" w:rsidP="00D43FC6">
      <w:pPr>
        <w:spacing w:after="0" w:line="240" w:lineRule="auto"/>
        <w:ind w:left="360"/>
        <w:jc w:val="both"/>
        <w:rPr>
          <w:rFonts w:ascii="Bookman Old Style" w:eastAsia="Constantia" w:hAnsi="Bookman Old Style" w:cs="Arial"/>
          <w:sz w:val="24"/>
          <w:szCs w:val="24"/>
          <w:lang w:eastAsia="it-IT"/>
        </w:rPr>
      </w:pPr>
    </w:p>
    <w:p w:rsidR="00D43FC6" w:rsidRPr="00D43FC6" w:rsidRDefault="00D43FC6" w:rsidP="00D43FC6">
      <w:pPr>
        <w:spacing w:after="0" w:line="240" w:lineRule="auto"/>
        <w:jc w:val="both"/>
        <w:rPr>
          <w:rFonts w:ascii="Bookman Old Style" w:eastAsia="Constantia" w:hAnsi="Bookman Old Style" w:cs="Arial"/>
          <w:b/>
          <w:sz w:val="24"/>
          <w:szCs w:val="24"/>
          <w:lang w:eastAsia="it-IT"/>
        </w:rPr>
      </w:pPr>
      <w:r w:rsidRPr="00D43FC6">
        <w:rPr>
          <w:rFonts w:ascii="Bookman Old Style" w:eastAsia="Constantia" w:hAnsi="Bookman Old Style" w:cs="Arial"/>
          <w:sz w:val="24"/>
          <w:szCs w:val="24"/>
          <w:lang w:eastAsia="it-IT"/>
        </w:rPr>
        <w:t xml:space="preserve">Come noto, </w:t>
      </w:r>
      <w:r w:rsidRPr="00D43FC6">
        <w:rPr>
          <w:rFonts w:ascii="Bookman Old Style" w:eastAsia="Constantia" w:hAnsi="Bookman Old Style" w:cs="Arial"/>
          <w:b/>
          <w:sz w:val="24"/>
          <w:szCs w:val="24"/>
          <w:lang w:eastAsia="it-IT"/>
        </w:rPr>
        <w:t xml:space="preserve">il 18 ottobre 2018, è entrato in vigore l’obbligo, </w:t>
      </w:r>
      <w:r w:rsidRPr="00DB1F4A">
        <w:rPr>
          <w:rFonts w:ascii="Bookman Old Style" w:eastAsia="Constantia" w:hAnsi="Bookman Old Style" w:cs="Arial"/>
          <w:b/>
          <w:sz w:val="24"/>
          <w:szCs w:val="24"/>
          <w:u w:val="single"/>
          <w:lang w:eastAsia="it-IT"/>
        </w:rPr>
        <w:t>per tutte le stazioni appaltanti</w:t>
      </w:r>
      <w:r w:rsidRPr="00D43FC6">
        <w:rPr>
          <w:rFonts w:ascii="Bookman Old Style" w:eastAsia="Constantia" w:hAnsi="Bookman Old Style" w:cs="Arial"/>
          <w:b/>
          <w:sz w:val="24"/>
          <w:szCs w:val="24"/>
          <w:lang w:eastAsia="it-IT"/>
        </w:rPr>
        <w:t xml:space="preserve">, di utilizzare mezzi di comunicazione elettronica nell’ambito delle procedure di gara. </w:t>
      </w:r>
    </w:p>
    <w:p w:rsidR="00D43FC6" w:rsidRPr="00D43FC6" w:rsidRDefault="00D43FC6" w:rsidP="00D43FC6">
      <w:pPr>
        <w:tabs>
          <w:tab w:val="left" w:pos="9356"/>
        </w:tabs>
        <w:spacing w:after="0" w:line="240" w:lineRule="auto"/>
        <w:ind w:right="-104"/>
        <w:jc w:val="both"/>
        <w:rPr>
          <w:rFonts w:ascii="Bookman Old Style" w:eastAsia="Times New Roman" w:hAnsi="Bookman Old Style" w:cs="Arial"/>
          <w:bCs/>
          <w:sz w:val="24"/>
          <w:szCs w:val="24"/>
          <w:lang w:eastAsia="it-IT"/>
        </w:rPr>
      </w:pPr>
      <w:r w:rsidRPr="00D43FC6">
        <w:rPr>
          <w:rFonts w:ascii="Bookman Old Style" w:eastAsia="Constantia" w:hAnsi="Bookman Old Style" w:cs="Arial"/>
          <w:b/>
          <w:sz w:val="24"/>
          <w:szCs w:val="24"/>
          <w:lang w:eastAsia="it-IT"/>
        </w:rPr>
        <w:t>Tale obbligo – previsto dal comma 2 dell’articolo 40 del dec</w:t>
      </w:r>
      <w:r w:rsidR="00DB1F4A">
        <w:rPr>
          <w:rFonts w:ascii="Bookman Old Style" w:eastAsia="Constantia" w:hAnsi="Bookman Old Style" w:cs="Arial"/>
          <w:b/>
          <w:sz w:val="24"/>
          <w:szCs w:val="24"/>
          <w:lang w:eastAsia="it-IT"/>
        </w:rPr>
        <w:t xml:space="preserve">reto legislativo n. 50/2016 e </w:t>
      </w:r>
      <w:proofErr w:type="spellStart"/>
      <w:r w:rsidR="00DB1F4A">
        <w:rPr>
          <w:rFonts w:ascii="Bookman Old Style" w:eastAsia="Constantia" w:hAnsi="Bookman Old Style" w:cs="Arial"/>
          <w:b/>
          <w:sz w:val="24"/>
          <w:szCs w:val="24"/>
          <w:lang w:eastAsia="it-IT"/>
        </w:rPr>
        <w:t>ss.</w:t>
      </w:r>
      <w:r w:rsidRPr="00D43FC6">
        <w:rPr>
          <w:rFonts w:ascii="Bookman Old Style" w:eastAsia="Constantia" w:hAnsi="Bookman Old Style" w:cs="Arial"/>
          <w:b/>
          <w:sz w:val="24"/>
          <w:szCs w:val="24"/>
          <w:lang w:eastAsia="it-IT"/>
        </w:rPr>
        <w:t>mm</w:t>
      </w:r>
      <w:r w:rsidR="00DB1F4A">
        <w:rPr>
          <w:rFonts w:ascii="Bookman Old Style" w:eastAsia="Constantia" w:hAnsi="Bookman Old Style" w:cs="Arial"/>
          <w:b/>
          <w:sz w:val="24"/>
          <w:szCs w:val="24"/>
          <w:lang w:eastAsia="it-IT"/>
        </w:rPr>
        <w:t>.</w:t>
      </w:r>
      <w:r w:rsidRPr="00D43FC6">
        <w:rPr>
          <w:rFonts w:ascii="Bookman Old Style" w:eastAsia="Constantia" w:hAnsi="Bookman Old Style" w:cs="Arial"/>
          <w:b/>
          <w:sz w:val="24"/>
          <w:szCs w:val="24"/>
          <w:lang w:eastAsia="it-IT"/>
        </w:rPr>
        <w:t>i</w:t>
      </w:r>
      <w:r w:rsidR="00DB1F4A">
        <w:rPr>
          <w:rFonts w:ascii="Bookman Old Style" w:eastAsia="Constantia" w:hAnsi="Bookman Old Style" w:cs="Arial"/>
          <w:b/>
          <w:sz w:val="24"/>
          <w:szCs w:val="24"/>
          <w:lang w:eastAsia="it-IT"/>
        </w:rPr>
        <w:t>i</w:t>
      </w:r>
      <w:proofErr w:type="spellEnd"/>
      <w:r w:rsidR="00DB1F4A">
        <w:rPr>
          <w:rFonts w:ascii="Bookman Old Style" w:eastAsia="Constantia" w:hAnsi="Bookman Old Style" w:cs="Arial"/>
          <w:b/>
          <w:sz w:val="24"/>
          <w:szCs w:val="24"/>
          <w:lang w:eastAsia="it-IT"/>
        </w:rPr>
        <w:t>.</w:t>
      </w:r>
      <w:r w:rsidRPr="00D43FC6">
        <w:rPr>
          <w:rFonts w:ascii="Bookman Old Style" w:eastAsia="Constantia" w:hAnsi="Bookman Old Style" w:cs="Arial"/>
          <w:b/>
          <w:sz w:val="24"/>
          <w:szCs w:val="24"/>
          <w:lang w:eastAsia="it-IT"/>
        </w:rPr>
        <w:t xml:space="preserve"> </w:t>
      </w:r>
      <w:r w:rsidR="00AD7E25">
        <w:rPr>
          <w:rFonts w:ascii="Bookman Old Style" w:eastAsia="Constantia" w:hAnsi="Bookman Old Style" w:cs="Arial"/>
          <w:b/>
          <w:sz w:val="24"/>
          <w:szCs w:val="24"/>
          <w:lang w:eastAsia="it-IT"/>
        </w:rPr>
        <w:t xml:space="preserve">(di seguito Codice Appalti) </w:t>
      </w:r>
      <w:r w:rsidRPr="00D43FC6">
        <w:rPr>
          <w:rFonts w:ascii="Bookman Old Style" w:eastAsia="Constantia" w:hAnsi="Bookman Old Style" w:cs="Arial"/>
          <w:b/>
          <w:sz w:val="24"/>
          <w:szCs w:val="24"/>
          <w:lang w:eastAsia="it-IT"/>
        </w:rPr>
        <w:t xml:space="preserve">– </w:t>
      </w:r>
      <w:r w:rsidRPr="00AD7E25">
        <w:rPr>
          <w:rFonts w:ascii="Bookman Old Style" w:eastAsia="Constantia" w:hAnsi="Bookman Old Style" w:cs="Arial"/>
          <w:sz w:val="24"/>
          <w:szCs w:val="24"/>
          <w:lang w:eastAsia="it-IT"/>
        </w:rPr>
        <w:t>deriva</w:t>
      </w:r>
      <w:r w:rsidRPr="00D43FC6">
        <w:rPr>
          <w:rFonts w:ascii="Bookman Old Style" w:eastAsia="Constantia" w:hAnsi="Bookman Old Style" w:cs="Arial"/>
          <w:b/>
          <w:sz w:val="24"/>
          <w:szCs w:val="24"/>
          <w:lang w:eastAsia="it-IT"/>
        </w:rPr>
        <w:t xml:space="preserve"> </w:t>
      </w:r>
      <w:r w:rsidRPr="00D43FC6">
        <w:rPr>
          <w:rFonts w:ascii="Bookman Old Style" w:eastAsia="Constantia" w:hAnsi="Bookman Old Style" w:cs="Arial"/>
          <w:sz w:val="24"/>
          <w:szCs w:val="24"/>
          <w:lang w:eastAsia="it-IT"/>
        </w:rPr>
        <w:t xml:space="preserve">dall’art. 22 della direttiva comunitaria 2014/24/EU, che richiedeva proprio l’utilizzo dei mezzi elettronici per le comunicazioni: </w:t>
      </w:r>
      <w:r w:rsidR="00DB1F4A">
        <w:rPr>
          <w:rFonts w:ascii="Bookman Old Style" w:eastAsia="Constantia" w:hAnsi="Bookman Old Style" w:cs="Arial"/>
          <w:sz w:val="24"/>
          <w:szCs w:val="24"/>
          <w:lang w:eastAsia="it-IT"/>
        </w:rPr>
        <w:t>“</w:t>
      </w:r>
      <w:r w:rsidRPr="00DB1F4A">
        <w:rPr>
          <w:rFonts w:ascii="Bookman Old Style" w:eastAsia="Constantia" w:hAnsi="Bookman Old Style" w:cs="Arial"/>
          <w:i/>
          <w:sz w:val="24"/>
          <w:szCs w:val="24"/>
          <w:lang w:eastAsia="it-IT"/>
        </w:rPr>
        <w:t xml:space="preserve">Gli Stati membri provvedono affinché tutte le comunicazioni e gli scambi di informazioni di cui alla presente direttiva, in particolare </w:t>
      </w:r>
      <w:r w:rsidRPr="00DB1F4A">
        <w:rPr>
          <w:rFonts w:ascii="Bookman Old Style" w:eastAsia="Constantia" w:hAnsi="Bookman Old Style" w:cs="Arial"/>
          <w:b/>
          <w:i/>
          <w:sz w:val="24"/>
          <w:szCs w:val="24"/>
          <w:lang w:eastAsia="it-IT"/>
        </w:rPr>
        <w:t xml:space="preserve">la trasmissione in via elettronica, siano eseguiti utilizzando mezzi di comunicazione elettronici </w:t>
      </w:r>
      <w:r w:rsidRPr="00DB1F4A">
        <w:rPr>
          <w:rFonts w:ascii="Bookman Old Style" w:eastAsia="Times New Roman" w:hAnsi="Bookman Old Style" w:cs="Arial"/>
          <w:bCs/>
          <w:i/>
          <w:sz w:val="24"/>
          <w:szCs w:val="24"/>
          <w:lang w:eastAsia="it-IT"/>
        </w:rPr>
        <w:t xml:space="preserve"> (art. 22, co. 1);</w:t>
      </w:r>
      <w:r w:rsidRPr="00D43FC6">
        <w:rPr>
          <w:rFonts w:ascii="Bookman Old Style" w:eastAsia="Times New Roman" w:hAnsi="Bookman Old Style" w:cs="Arial"/>
          <w:bCs/>
          <w:sz w:val="24"/>
          <w:szCs w:val="24"/>
          <w:lang w:eastAsia="it-IT"/>
        </w:rPr>
        <w:t xml:space="preserve"> in tali casi, le amministrazioni aggiudicatrici «</w:t>
      </w:r>
      <w:r w:rsidRPr="00D43FC6">
        <w:rPr>
          <w:rFonts w:ascii="Bookman Old Style" w:eastAsia="Times New Roman" w:hAnsi="Bookman Old Style" w:cs="Arial"/>
          <w:bCs/>
          <w:i/>
          <w:sz w:val="24"/>
          <w:szCs w:val="24"/>
          <w:lang w:eastAsia="it-IT"/>
        </w:rPr>
        <w:t>garantiscono che l’integrità dei dati e la riservatezza delle offerte e delle domande di partecipazione siano mantenute. Esse esaminano il contenuto delle offerte e delle domande di partecipazione soltanto dopo la scadenza del termine stabilito per la loro presentazione</w:t>
      </w:r>
      <w:r w:rsidRPr="00D43FC6">
        <w:rPr>
          <w:rFonts w:ascii="Bookman Old Style" w:eastAsia="Times New Roman" w:hAnsi="Bookman Old Style" w:cs="Arial"/>
          <w:bCs/>
          <w:sz w:val="24"/>
          <w:szCs w:val="24"/>
          <w:lang w:eastAsia="it-IT"/>
        </w:rPr>
        <w:t>» (art. 22, co. 3).</w:t>
      </w:r>
    </w:p>
    <w:p w:rsidR="00D43FC6" w:rsidRPr="00DB1F4A" w:rsidRDefault="00DB1F4A" w:rsidP="00D43FC6">
      <w:pPr>
        <w:spacing w:after="0" w:line="240" w:lineRule="auto"/>
        <w:jc w:val="both"/>
        <w:rPr>
          <w:rFonts w:ascii="Bookman Old Style" w:eastAsia="Constantia" w:hAnsi="Bookman Old Style" w:cs="Arial"/>
          <w:i/>
          <w:sz w:val="24"/>
          <w:szCs w:val="24"/>
          <w:lang w:eastAsia="it-IT"/>
        </w:rPr>
      </w:pPr>
      <w:r>
        <w:rPr>
          <w:rFonts w:ascii="Bookman Old Style" w:eastAsia="Constantia" w:hAnsi="Bookman Old Style" w:cs="Arial"/>
          <w:sz w:val="24"/>
          <w:szCs w:val="24"/>
          <w:lang w:eastAsia="it-IT"/>
        </w:rPr>
        <w:t xml:space="preserve">Dunque, l’oggetto della disposizione normativa succitata, riguarda le modalità con cui effettuare le comunicazioni e gli scambi di informazioni all’interno delle procedure di gara. Tuttavia, </w:t>
      </w:r>
      <w:r w:rsidR="00D43FC6" w:rsidRPr="00D43FC6">
        <w:rPr>
          <w:rFonts w:ascii="Bookman Old Style" w:eastAsia="Constantia" w:hAnsi="Bookman Old Style" w:cs="Arial"/>
          <w:sz w:val="24"/>
          <w:szCs w:val="24"/>
          <w:lang w:eastAsia="it-IT"/>
        </w:rPr>
        <w:t>una completa disamina della disciplina,</w:t>
      </w:r>
      <w:r>
        <w:rPr>
          <w:rFonts w:ascii="Bookman Old Style" w:eastAsia="Constantia" w:hAnsi="Bookman Old Style" w:cs="Arial"/>
          <w:sz w:val="24"/>
          <w:szCs w:val="24"/>
          <w:lang w:eastAsia="it-IT"/>
        </w:rPr>
        <w:t xml:space="preserve"> impone un collegamento dell</w:t>
      </w:r>
      <w:r w:rsidR="00D43FC6" w:rsidRPr="00D43FC6">
        <w:rPr>
          <w:rFonts w:ascii="Bookman Old Style" w:eastAsia="Constantia" w:hAnsi="Bookman Old Style" w:cs="Arial"/>
          <w:sz w:val="24"/>
          <w:szCs w:val="24"/>
          <w:lang w:eastAsia="it-IT"/>
        </w:rPr>
        <w:t>’articolo 40</w:t>
      </w:r>
      <w:r>
        <w:rPr>
          <w:rFonts w:ascii="Bookman Old Style" w:eastAsia="Constantia" w:hAnsi="Bookman Old Style" w:cs="Arial"/>
          <w:sz w:val="24"/>
          <w:szCs w:val="24"/>
          <w:lang w:eastAsia="it-IT"/>
        </w:rPr>
        <w:t>,</w:t>
      </w:r>
      <w:r w:rsidR="00D43FC6" w:rsidRPr="00D43FC6">
        <w:rPr>
          <w:rFonts w:ascii="Bookman Old Style" w:eastAsia="Constantia" w:hAnsi="Bookman Old Style" w:cs="Arial"/>
          <w:sz w:val="24"/>
          <w:szCs w:val="24"/>
          <w:lang w:eastAsia="it-IT"/>
        </w:rPr>
        <w:t xml:space="preserve"> c</w:t>
      </w:r>
      <w:r>
        <w:rPr>
          <w:rFonts w:ascii="Bookman Old Style" w:eastAsia="Constantia" w:hAnsi="Bookman Old Style" w:cs="Arial"/>
          <w:sz w:val="24"/>
          <w:szCs w:val="24"/>
          <w:lang w:eastAsia="it-IT"/>
        </w:rPr>
        <w:t>omma 2, con quanto previsto dall’articolo 52 del Codice, ch</w:t>
      </w:r>
      <w:r w:rsidR="00D43FC6" w:rsidRPr="00D43FC6">
        <w:rPr>
          <w:rFonts w:ascii="Bookman Old Style" w:eastAsia="Constantia" w:hAnsi="Bookman Old Style" w:cs="Arial"/>
          <w:sz w:val="24"/>
          <w:szCs w:val="24"/>
          <w:lang w:eastAsia="it-IT"/>
        </w:rPr>
        <w:t>e descrive le caratteristiche che tali comunicazioni devono avere. Il comma 5</w:t>
      </w:r>
      <w:r>
        <w:rPr>
          <w:rFonts w:ascii="Bookman Old Style" w:eastAsia="Constantia" w:hAnsi="Bookman Old Style" w:cs="Arial"/>
          <w:sz w:val="24"/>
          <w:szCs w:val="24"/>
          <w:lang w:eastAsia="it-IT"/>
        </w:rPr>
        <w:t xml:space="preserve"> dell’articolo 52</w:t>
      </w:r>
      <w:r w:rsidR="00D43FC6" w:rsidRPr="00D43FC6">
        <w:rPr>
          <w:rFonts w:ascii="Bookman Old Style" w:eastAsia="Constantia" w:hAnsi="Bookman Old Style" w:cs="Arial"/>
          <w:sz w:val="24"/>
          <w:szCs w:val="24"/>
          <w:lang w:eastAsia="it-IT"/>
        </w:rPr>
        <w:t>, in particolare, chiarisce: “</w:t>
      </w:r>
      <w:r w:rsidR="00D43FC6" w:rsidRPr="00DB1F4A">
        <w:rPr>
          <w:rFonts w:ascii="Bookman Old Style" w:eastAsia="Constantia" w:hAnsi="Bookman Old Style" w:cs="Arial"/>
          <w:i/>
          <w:sz w:val="24"/>
          <w:szCs w:val="24"/>
          <w:lang w:eastAsia="it-IT"/>
        </w:rPr>
        <w:t xml:space="preserve">In tutte le comunicazioni, gli scambi e l’archiviazione di informazioni, le stazioni appaltanti garantiscono che l’integrità dei dati e la riservatezza delle offerte e delle domande di partecipazione siano mantenute. Esse esaminano il contenuto delle offerte e delle domande di partecipazione soltanto dopo la scadenza del termine stabilito per la loro presentazione”. </w:t>
      </w:r>
    </w:p>
    <w:p w:rsidR="00D43FC6" w:rsidRPr="00D43FC6" w:rsidRDefault="00D43FC6" w:rsidP="00D43FC6">
      <w:pPr>
        <w:spacing w:after="0" w:line="240" w:lineRule="auto"/>
        <w:jc w:val="both"/>
        <w:rPr>
          <w:rFonts w:ascii="Bookman Old Style" w:eastAsia="Times New Roman" w:hAnsi="Bookman Old Style" w:cs="Arial"/>
          <w:bCs/>
          <w:sz w:val="24"/>
          <w:szCs w:val="24"/>
          <w:lang w:eastAsia="it-IT"/>
        </w:rPr>
      </w:pPr>
    </w:p>
    <w:p w:rsidR="00D43FC6" w:rsidRPr="009D4788" w:rsidRDefault="00D43FC6" w:rsidP="00D43FC6">
      <w:pPr>
        <w:spacing w:after="0" w:line="240" w:lineRule="auto"/>
        <w:jc w:val="both"/>
        <w:rPr>
          <w:rFonts w:ascii="Bookman Old Style" w:eastAsia="Times New Roman" w:hAnsi="Bookman Old Style" w:cs="Arial"/>
          <w:b/>
          <w:bCs/>
          <w:color w:val="FF0000"/>
          <w:sz w:val="24"/>
          <w:szCs w:val="24"/>
          <w:lang w:eastAsia="it-IT"/>
        </w:rPr>
      </w:pPr>
      <w:r w:rsidRPr="009D4788">
        <w:rPr>
          <w:rFonts w:ascii="Bookman Old Style" w:eastAsia="Times New Roman" w:hAnsi="Bookman Old Style" w:cs="Arial"/>
          <w:bCs/>
          <w:color w:val="FF0000"/>
          <w:sz w:val="24"/>
          <w:szCs w:val="24"/>
          <w:lang w:eastAsia="it-IT"/>
        </w:rPr>
        <w:t xml:space="preserve">L’art. 52 inoltre, , </w:t>
      </w:r>
      <w:r w:rsidRPr="009D4788">
        <w:rPr>
          <w:rFonts w:ascii="Bookman Old Style" w:eastAsia="Calibri" w:hAnsi="Bookman Old Style" w:cs="Arial"/>
          <w:b/>
          <w:color w:val="FF0000"/>
          <w:sz w:val="24"/>
          <w:szCs w:val="24"/>
          <w:shd w:val="clear" w:color="auto" w:fill="FFFFFF"/>
          <w:lang w:eastAsia="it-IT"/>
        </w:rPr>
        <w:t>con riferimento alla presentazione dell’offerta</w:t>
      </w:r>
      <w:r w:rsidRPr="009D4788">
        <w:rPr>
          <w:rFonts w:ascii="Bookman Old Style" w:eastAsia="Calibri" w:hAnsi="Bookman Old Style" w:cs="Arial"/>
          <w:color w:val="FF0000"/>
          <w:sz w:val="24"/>
          <w:szCs w:val="24"/>
          <w:shd w:val="clear" w:color="auto" w:fill="FFFFFF"/>
          <w:lang w:eastAsia="it-IT"/>
        </w:rPr>
        <w:t xml:space="preserve">, </w:t>
      </w:r>
      <w:r w:rsidRPr="009D4788">
        <w:rPr>
          <w:rFonts w:ascii="Bookman Old Style" w:eastAsia="Times New Roman" w:hAnsi="Bookman Old Style" w:cs="Arial"/>
          <w:bCs/>
          <w:color w:val="FF0000"/>
          <w:sz w:val="24"/>
          <w:szCs w:val="24"/>
          <w:lang w:eastAsia="it-IT"/>
        </w:rPr>
        <w:t xml:space="preserve">stabilisce che le amministrazioni possano ancora ricorrere </w:t>
      </w:r>
      <w:r w:rsidRPr="009D4788">
        <w:rPr>
          <w:rFonts w:ascii="Bookman Old Style" w:eastAsia="Times New Roman" w:hAnsi="Bookman Old Style" w:cs="Arial"/>
          <w:b/>
          <w:bCs/>
          <w:color w:val="FF0000"/>
          <w:sz w:val="24"/>
          <w:szCs w:val="24"/>
          <w:lang w:eastAsia="it-IT"/>
        </w:rPr>
        <w:t>all’uso di mezzi di comunicazione diversi da quelli elettronici nelle seguenti ipotesi derogatorie:</w:t>
      </w:r>
    </w:p>
    <w:p w:rsidR="00D43FC6" w:rsidRPr="009D4788" w:rsidRDefault="00D43FC6" w:rsidP="00D43FC6">
      <w:pPr>
        <w:spacing w:after="0" w:line="240" w:lineRule="auto"/>
        <w:jc w:val="both"/>
        <w:rPr>
          <w:rFonts w:ascii="Bookman Old Style" w:eastAsia="Constantia" w:hAnsi="Bookman Old Style" w:cs="Arial"/>
          <w:color w:val="FF0000"/>
          <w:sz w:val="24"/>
          <w:szCs w:val="24"/>
          <w:lang w:eastAsia="it-IT"/>
        </w:rPr>
      </w:pPr>
    </w:p>
    <w:p w:rsidR="00D43FC6" w:rsidRPr="00D43FC6" w:rsidRDefault="00D43FC6" w:rsidP="00D43FC6">
      <w:pPr>
        <w:numPr>
          <w:ilvl w:val="0"/>
          <w:numId w:val="1"/>
        </w:numPr>
        <w:spacing w:after="0" w:line="240" w:lineRule="auto"/>
        <w:jc w:val="both"/>
        <w:rPr>
          <w:rFonts w:ascii="Bookman Old Style" w:eastAsia="Constantia" w:hAnsi="Bookman Old Style" w:cs="Arial"/>
          <w:sz w:val="24"/>
          <w:szCs w:val="24"/>
          <w:lang w:eastAsia="it-IT"/>
        </w:rPr>
      </w:pPr>
      <w:r w:rsidRPr="00D43FC6">
        <w:rPr>
          <w:rFonts w:ascii="Bookman Old Style" w:eastAsia="Constantia" w:hAnsi="Bookman Old Style" w:cs="Arial"/>
          <w:sz w:val="24"/>
          <w:szCs w:val="24"/>
          <w:lang w:eastAsia="it-IT"/>
        </w:rPr>
        <w:lastRenderedPageBreak/>
        <w:t>a causa della natura specialistica dell’appalto, l’uso di mezzi di comunicazione elettronici richiederebbe specifici strumenti, dispositivi o formati di file, che non sono in genere disponibili o non sono gestiti dai programmi comunemente disponibili;</w:t>
      </w:r>
    </w:p>
    <w:p w:rsidR="00D43FC6" w:rsidRPr="00D43FC6" w:rsidRDefault="00D43FC6" w:rsidP="00D43FC6">
      <w:pPr>
        <w:numPr>
          <w:ilvl w:val="0"/>
          <w:numId w:val="1"/>
        </w:numPr>
        <w:spacing w:after="0" w:line="240" w:lineRule="auto"/>
        <w:jc w:val="both"/>
        <w:rPr>
          <w:rFonts w:ascii="Bookman Old Style" w:eastAsia="Constantia" w:hAnsi="Bookman Old Style" w:cs="Arial"/>
          <w:sz w:val="24"/>
          <w:szCs w:val="24"/>
          <w:lang w:eastAsia="it-IT"/>
        </w:rPr>
      </w:pPr>
      <w:r w:rsidRPr="00D43FC6">
        <w:rPr>
          <w:rFonts w:ascii="Bookman Old Style" w:eastAsia="Constantia" w:hAnsi="Bookman Old Style" w:cs="Arial"/>
          <w:sz w:val="24"/>
          <w:szCs w:val="24"/>
          <w:lang w:eastAsia="it-IT"/>
        </w:rPr>
        <w:t>i programmi in grado di gestire i formati di file, adatti a descrivere l’offerta, utilizzano formati che non possono essere gestiti mediante altri programmi aperti o generalmente disponibili ovvero sono protetti da licenza di proprietà esclusiva e non possono essere messi a disposizione per essere scaricati o per farne un uso remoto da parte della stazione appaltante;</w:t>
      </w:r>
    </w:p>
    <w:p w:rsidR="00D43FC6" w:rsidRPr="00D43FC6" w:rsidRDefault="00D43FC6" w:rsidP="00D43FC6">
      <w:pPr>
        <w:numPr>
          <w:ilvl w:val="0"/>
          <w:numId w:val="1"/>
        </w:numPr>
        <w:spacing w:after="0" w:line="240" w:lineRule="auto"/>
        <w:jc w:val="both"/>
        <w:rPr>
          <w:rFonts w:ascii="Bookman Old Style" w:eastAsia="Constantia" w:hAnsi="Bookman Old Style" w:cs="Arial"/>
          <w:sz w:val="24"/>
          <w:szCs w:val="24"/>
          <w:lang w:eastAsia="it-IT"/>
        </w:rPr>
      </w:pPr>
      <w:r w:rsidRPr="00D43FC6">
        <w:rPr>
          <w:rFonts w:ascii="Bookman Old Style" w:eastAsia="Constantia" w:hAnsi="Bookman Old Style" w:cs="Arial"/>
          <w:sz w:val="24"/>
          <w:szCs w:val="24"/>
          <w:lang w:eastAsia="it-IT"/>
        </w:rPr>
        <w:t>l’utilizzo di mezzi di comunicazione elettronici richiede attrezzature specializzate per ufficio non comunemente disponibili alle stazioni appaltanti;</w:t>
      </w:r>
    </w:p>
    <w:p w:rsidR="00D43FC6" w:rsidRDefault="00D43FC6" w:rsidP="00D43FC6">
      <w:pPr>
        <w:numPr>
          <w:ilvl w:val="0"/>
          <w:numId w:val="1"/>
        </w:numPr>
        <w:spacing w:after="0" w:line="240" w:lineRule="auto"/>
        <w:jc w:val="both"/>
        <w:rPr>
          <w:rFonts w:ascii="Bookman Old Style" w:eastAsia="Constantia" w:hAnsi="Bookman Old Style" w:cs="Arial"/>
          <w:sz w:val="24"/>
          <w:szCs w:val="24"/>
          <w:lang w:eastAsia="it-IT"/>
        </w:rPr>
      </w:pPr>
      <w:r w:rsidRPr="00D43FC6">
        <w:rPr>
          <w:rFonts w:ascii="Bookman Old Style" w:eastAsia="Constantia" w:hAnsi="Bookman Old Style" w:cs="Arial"/>
          <w:sz w:val="24"/>
          <w:szCs w:val="24"/>
          <w:lang w:eastAsia="it-IT"/>
        </w:rPr>
        <w:t>i documenti di gara richiedono la presentazione di un modello fisico o in scala ridotta che non può essere trasmesso per mezzo di strumenti elettronici;</w:t>
      </w:r>
    </w:p>
    <w:p w:rsidR="00D43FC6" w:rsidRPr="009D4788" w:rsidRDefault="00D43FC6" w:rsidP="00C22372">
      <w:pPr>
        <w:numPr>
          <w:ilvl w:val="0"/>
          <w:numId w:val="1"/>
        </w:numPr>
        <w:spacing w:after="0" w:line="240" w:lineRule="auto"/>
        <w:jc w:val="both"/>
        <w:rPr>
          <w:rFonts w:ascii="Bookman Old Style" w:eastAsia="Constantia" w:hAnsi="Bookman Old Style" w:cs="Arial"/>
          <w:b/>
          <w:i/>
          <w:color w:val="FF0000"/>
          <w:sz w:val="24"/>
          <w:szCs w:val="24"/>
          <w:lang w:eastAsia="it-IT"/>
        </w:rPr>
      </w:pPr>
      <w:r w:rsidRPr="009D4788">
        <w:rPr>
          <w:rFonts w:ascii="Bookman Old Style" w:eastAsia="Constantia" w:hAnsi="Bookman Old Style" w:cs="Arial"/>
          <w:b/>
          <w:color w:val="FF0000"/>
          <w:sz w:val="24"/>
          <w:szCs w:val="24"/>
          <w:lang w:eastAsia="it-IT"/>
        </w:rPr>
        <w:t xml:space="preserve">l’uso di mezzi di comunicazione diversi dai mezzi elettronici è necessario a causa di una violazione della sicurezza dei mezzi di comunicazione elettronici ovvero per la protezione di informazioni di natura particolarmente sensibile che richiedono un livello talmente elevato di protezione da non poter essere adeguatamente garantito mediante l’uso degli strumenti e dispositivi elettronici che sono generalmente a disposizione degli operatori economici o che possono essere messi loro a disposizione mediante modalità alternative di accesso. </w:t>
      </w:r>
      <w:r w:rsidRPr="009D4788">
        <w:rPr>
          <w:rFonts w:ascii="Bookman Old Style" w:eastAsia="Constantia" w:hAnsi="Bookman Old Style" w:cs="Arial"/>
          <w:b/>
          <w:i/>
          <w:color w:val="FF0000"/>
          <w:sz w:val="24"/>
          <w:szCs w:val="24"/>
          <w:lang w:eastAsia="it-IT"/>
        </w:rPr>
        <w:t xml:space="preserve">In tali casi, però, le stazioni appaltanti indicano nella relazione unica i motivi per cui l’uso di mezzi di comunicazione diversi dai mezzi elettronici è stato ritenuto necessario (art. 52, comma 3, </w:t>
      </w:r>
      <w:proofErr w:type="spellStart"/>
      <w:r w:rsidRPr="009D4788">
        <w:rPr>
          <w:rFonts w:ascii="Bookman Old Style" w:eastAsia="Constantia" w:hAnsi="Bookman Old Style" w:cs="Arial"/>
          <w:b/>
          <w:i/>
          <w:color w:val="FF0000"/>
          <w:sz w:val="24"/>
          <w:szCs w:val="24"/>
          <w:lang w:eastAsia="it-IT"/>
        </w:rPr>
        <w:t>D.Lgs.</w:t>
      </w:r>
      <w:proofErr w:type="spellEnd"/>
      <w:r w:rsidRPr="009D4788">
        <w:rPr>
          <w:rFonts w:ascii="Bookman Old Style" w:eastAsia="Constantia" w:hAnsi="Bookman Old Style" w:cs="Arial"/>
          <w:b/>
          <w:i/>
          <w:color w:val="FF0000"/>
          <w:sz w:val="24"/>
          <w:szCs w:val="24"/>
          <w:lang w:eastAsia="it-IT"/>
        </w:rPr>
        <w:t xml:space="preserve"> 50/2016).</w:t>
      </w:r>
    </w:p>
    <w:p w:rsidR="00C22372" w:rsidRPr="00D43FC6" w:rsidRDefault="00C22372" w:rsidP="00C22372">
      <w:pPr>
        <w:spacing w:after="0" w:line="240" w:lineRule="auto"/>
        <w:ind w:left="360"/>
        <w:jc w:val="both"/>
        <w:rPr>
          <w:rFonts w:ascii="Bookman Old Style" w:eastAsia="Constantia" w:hAnsi="Bookman Old Style" w:cs="Arial"/>
          <w:sz w:val="24"/>
          <w:szCs w:val="24"/>
          <w:lang w:eastAsia="it-IT"/>
        </w:rPr>
      </w:pPr>
    </w:p>
    <w:p w:rsidR="00D43FC6" w:rsidRPr="009D4788" w:rsidRDefault="00D43FC6" w:rsidP="00D43FC6">
      <w:pPr>
        <w:spacing w:after="120" w:line="240" w:lineRule="auto"/>
        <w:ind w:left="720"/>
        <w:contextualSpacing/>
        <w:jc w:val="both"/>
        <w:rPr>
          <w:rFonts w:ascii="Bookman Old Style" w:eastAsia="Times New Roman" w:hAnsi="Bookman Old Style" w:cs="Arial"/>
          <w:bCs/>
          <w:i/>
          <w:color w:val="FF0000"/>
          <w:sz w:val="24"/>
          <w:szCs w:val="24"/>
          <w:lang w:eastAsia="it-IT"/>
        </w:rPr>
      </w:pPr>
      <w:r w:rsidRPr="00D43FC6">
        <w:rPr>
          <w:rFonts w:ascii="Bookman Old Style" w:eastAsia="Constantia" w:hAnsi="Bookman Old Style" w:cs="Times New Roman"/>
          <w:sz w:val="24"/>
          <w:szCs w:val="24"/>
        </w:rPr>
        <w:t>Il qua</w:t>
      </w:r>
      <w:r w:rsidR="00AD7E25">
        <w:rPr>
          <w:rFonts w:ascii="Bookman Old Style" w:eastAsia="Constantia" w:hAnsi="Bookman Old Style" w:cs="Times New Roman"/>
          <w:sz w:val="24"/>
          <w:szCs w:val="24"/>
        </w:rPr>
        <w:t xml:space="preserve">dro normativo si completa con </w:t>
      </w:r>
      <w:r w:rsidR="00AD7E25" w:rsidRPr="00AD7E25">
        <w:rPr>
          <w:rFonts w:ascii="Bookman Old Style" w:eastAsia="Constantia" w:hAnsi="Bookman Old Style" w:cs="Times New Roman"/>
          <w:b/>
          <w:sz w:val="24"/>
          <w:szCs w:val="24"/>
        </w:rPr>
        <w:t>l’</w:t>
      </w:r>
      <w:r w:rsidRPr="00AD7E25">
        <w:rPr>
          <w:rFonts w:ascii="Bookman Old Style" w:eastAsia="Constantia" w:hAnsi="Bookman Old Style" w:cs="Times New Roman"/>
          <w:b/>
          <w:sz w:val="24"/>
          <w:szCs w:val="24"/>
        </w:rPr>
        <w:t>articolo 58</w:t>
      </w:r>
      <w:r w:rsidRPr="00D43FC6">
        <w:rPr>
          <w:rFonts w:ascii="Bookman Old Style" w:eastAsia="Constantia" w:hAnsi="Bookman Old Style" w:cs="Times New Roman"/>
          <w:sz w:val="24"/>
          <w:szCs w:val="24"/>
        </w:rPr>
        <w:t xml:space="preserve"> del Codice</w:t>
      </w:r>
      <w:r w:rsidRPr="00D43FC6">
        <w:rPr>
          <w:rFonts w:ascii="Bookman Old Style" w:eastAsia="Times New Roman" w:hAnsi="Bookman Old Style" w:cs="Arial"/>
          <w:b/>
          <w:bCs/>
          <w:sz w:val="24"/>
          <w:szCs w:val="24"/>
          <w:lang w:eastAsia="it-IT"/>
        </w:rPr>
        <w:t xml:space="preserve"> </w:t>
      </w:r>
      <w:r w:rsidR="00AD7E25" w:rsidRPr="00AD7E25">
        <w:rPr>
          <w:rFonts w:ascii="Bookman Old Style" w:eastAsia="Times New Roman" w:hAnsi="Bookman Old Style" w:cs="Arial"/>
          <w:bCs/>
          <w:sz w:val="24"/>
          <w:szCs w:val="24"/>
          <w:lang w:eastAsia="it-IT"/>
        </w:rPr>
        <w:t xml:space="preserve">Appalti </w:t>
      </w:r>
      <w:r w:rsidRPr="00D43FC6">
        <w:rPr>
          <w:rFonts w:ascii="Bookman Old Style" w:eastAsia="Times New Roman" w:hAnsi="Bookman Old Style" w:cs="Arial"/>
          <w:bCs/>
          <w:sz w:val="24"/>
          <w:szCs w:val="24"/>
          <w:lang w:eastAsia="it-IT"/>
        </w:rPr>
        <w:t xml:space="preserve">concernente le procedure svolte attraverso piattaforme telematiche di negoziazione e </w:t>
      </w:r>
      <w:r w:rsidR="00AD7E25">
        <w:rPr>
          <w:rFonts w:ascii="Bookman Old Style" w:eastAsia="Times New Roman" w:hAnsi="Bookman Old Style" w:cs="Arial"/>
          <w:bCs/>
          <w:sz w:val="24"/>
          <w:szCs w:val="24"/>
          <w:lang w:eastAsia="it-IT"/>
        </w:rPr>
        <w:t xml:space="preserve">con </w:t>
      </w:r>
      <w:r w:rsidRPr="00AD7E25">
        <w:rPr>
          <w:rFonts w:ascii="Bookman Old Style" w:eastAsia="Times New Roman" w:hAnsi="Bookman Old Style" w:cs="Arial"/>
          <w:b/>
          <w:bCs/>
          <w:sz w:val="24"/>
          <w:szCs w:val="24"/>
          <w:lang w:eastAsia="it-IT"/>
        </w:rPr>
        <w:t>l’art</w:t>
      </w:r>
      <w:r w:rsidR="00DB1F4A" w:rsidRPr="00AD7E25">
        <w:rPr>
          <w:rFonts w:ascii="Bookman Old Style" w:eastAsia="Times New Roman" w:hAnsi="Bookman Old Style" w:cs="Arial"/>
          <w:b/>
          <w:bCs/>
          <w:sz w:val="24"/>
          <w:szCs w:val="24"/>
          <w:lang w:eastAsia="it-IT"/>
        </w:rPr>
        <w:t>i</w:t>
      </w:r>
      <w:r w:rsidRPr="00AD7E25">
        <w:rPr>
          <w:rFonts w:ascii="Bookman Old Style" w:eastAsia="Times New Roman" w:hAnsi="Bookman Old Style" w:cs="Arial"/>
          <w:b/>
          <w:bCs/>
          <w:sz w:val="24"/>
          <w:szCs w:val="24"/>
          <w:lang w:eastAsia="it-IT"/>
        </w:rPr>
        <w:t>colo art. 44</w:t>
      </w:r>
      <w:r w:rsidRPr="00D43FC6">
        <w:rPr>
          <w:rFonts w:ascii="Bookman Old Style" w:eastAsia="Times New Roman" w:hAnsi="Bookman Old Style" w:cs="Arial"/>
          <w:b/>
          <w:bCs/>
          <w:sz w:val="24"/>
          <w:szCs w:val="24"/>
          <w:lang w:eastAsia="it-IT"/>
        </w:rPr>
        <w:t>,</w:t>
      </w:r>
      <w:r w:rsidRPr="00D43FC6">
        <w:rPr>
          <w:rFonts w:ascii="Bookman Old Style" w:eastAsia="Times New Roman" w:hAnsi="Bookman Old Style" w:cs="Arial"/>
          <w:bCs/>
          <w:sz w:val="24"/>
          <w:szCs w:val="24"/>
          <w:lang w:eastAsia="it-IT"/>
        </w:rPr>
        <w:t xml:space="preserve"> </w:t>
      </w:r>
      <w:r w:rsidRPr="009D4788">
        <w:rPr>
          <w:rFonts w:ascii="Bookman Old Style" w:eastAsia="Times New Roman" w:hAnsi="Bookman Old Style" w:cs="Arial"/>
          <w:bCs/>
          <w:i/>
          <w:color w:val="FF0000"/>
          <w:sz w:val="24"/>
          <w:szCs w:val="24"/>
          <w:lang w:eastAsia="it-IT"/>
        </w:rPr>
        <w:t>che rimanda ad un D</w:t>
      </w:r>
      <w:r w:rsidR="00AD7E25" w:rsidRPr="009D4788">
        <w:rPr>
          <w:rFonts w:ascii="Bookman Old Style" w:eastAsia="Times New Roman" w:hAnsi="Bookman Old Style" w:cs="Arial"/>
          <w:bCs/>
          <w:i/>
          <w:color w:val="FF0000"/>
          <w:sz w:val="24"/>
          <w:szCs w:val="24"/>
          <w:lang w:eastAsia="it-IT"/>
        </w:rPr>
        <w:t>.</w:t>
      </w:r>
      <w:r w:rsidRPr="009D4788">
        <w:rPr>
          <w:rFonts w:ascii="Bookman Old Style" w:eastAsia="Times New Roman" w:hAnsi="Bookman Old Style" w:cs="Arial"/>
          <w:bCs/>
          <w:i/>
          <w:color w:val="FF0000"/>
          <w:sz w:val="24"/>
          <w:szCs w:val="24"/>
          <w:lang w:eastAsia="it-IT"/>
        </w:rPr>
        <w:t>M</w:t>
      </w:r>
      <w:r w:rsidR="00AD7E25" w:rsidRPr="009D4788">
        <w:rPr>
          <w:rFonts w:ascii="Bookman Old Style" w:eastAsia="Times New Roman" w:hAnsi="Bookman Old Style" w:cs="Arial"/>
          <w:bCs/>
          <w:i/>
          <w:color w:val="FF0000"/>
          <w:sz w:val="24"/>
          <w:szCs w:val="24"/>
          <w:lang w:eastAsia="it-IT"/>
        </w:rPr>
        <w:t>.</w:t>
      </w:r>
      <w:r w:rsidRPr="009D4788">
        <w:rPr>
          <w:rFonts w:ascii="Bookman Old Style" w:eastAsia="Times New Roman" w:hAnsi="Bookman Old Style" w:cs="Arial"/>
          <w:bCs/>
          <w:i/>
          <w:color w:val="FF0000"/>
          <w:sz w:val="24"/>
          <w:szCs w:val="24"/>
          <w:lang w:eastAsia="it-IT"/>
        </w:rPr>
        <w:t>,</w:t>
      </w:r>
      <w:r w:rsidRPr="009D4788">
        <w:rPr>
          <w:rFonts w:ascii="Bookman Old Style" w:eastAsia="Times New Roman" w:hAnsi="Bookman Old Style" w:cs="Arial"/>
          <w:bCs/>
          <w:color w:val="FF0000"/>
          <w:sz w:val="24"/>
          <w:szCs w:val="24"/>
          <w:lang w:eastAsia="it-IT"/>
        </w:rPr>
        <w:t xml:space="preserve"> </w:t>
      </w:r>
      <w:r w:rsidRPr="009D4788">
        <w:rPr>
          <w:rFonts w:ascii="Bookman Old Style" w:eastAsia="Times New Roman" w:hAnsi="Bookman Old Style" w:cs="Arial"/>
          <w:bCs/>
          <w:i/>
          <w:color w:val="FF0000"/>
          <w:sz w:val="24"/>
          <w:szCs w:val="24"/>
          <w:lang w:eastAsia="it-IT"/>
        </w:rPr>
        <w:t>contenente le “modalità di digitalizzazione delle procedure”, la cui adozione al momento, non risulta avvenuta</w:t>
      </w:r>
      <w:r w:rsidR="00DB1F4A" w:rsidRPr="009D4788">
        <w:rPr>
          <w:rFonts w:ascii="Bookman Old Style" w:eastAsia="Times New Roman" w:hAnsi="Bookman Old Style" w:cs="Arial"/>
          <w:bCs/>
          <w:i/>
          <w:color w:val="FF0000"/>
          <w:sz w:val="24"/>
          <w:szCs w:val="24"/>
          <w:lang w:eastAsia="it-IT"/>
        </w:rPr>
        <w:t xml:space="preserve"> (</w:t>
      </w:r>
      <w:r w:rsidR="00AD7E25" w:rsidRPr="009D4788">
        <w:rPr>
          <w:rFonts w:ascii="Bookman Old Style" w:eastAsia="Times New Roman" w:hAnsi="Bookman Old Style" w:cs="Arial"/>
          <w:bCs/>
          <w:i/>
          <w:color w:val="FF0000"/>
          <w:sz w:val="24"/>
          <w:szCs w:val="24"/>
          <w:lang w:eastAsia="it-IT"/>
        </w:rPr>
        <w:t>si ricorda che p</w:t>
      </w:r>
      <w:r w:rsidR="00DB1F4A" w:rsidRPr="009D4788">
        <w:rPr>
          <w:rFonts w:ascii="Bookman Old Style" w:eastAsia="Times New Roman" w:hAnsi="Bookman Old Style" w:cs="Arial"/>
          <w:bCs/>
          <w:i/>
          <w:color w:val="FF0000"/>
          <w:sz w:val="24"/>
          <w:szCs w:val="24"/>
          <w:lang w:eastAsia="it-IT"/>
        </w:rPr>
        <w:t>er questo</w:t>
      </w:r>
      <w:r w:rsidR="00AD7E25" w:rsidRPr="009D4788">
        <w:rPr>
          <w:rFonts w:ascii="Bookman Old Style" w:eastAsia="Times New Roman" w:hAnsi="Bookman Old Style" w:cs="Arial"/>
          <w:bCs/>
          <w:i/>
          <w:color w:val="FF0000"/>
          <w:sz w:val="24"/>
          <w:szCs w:val="24"/>
          <w:lang w:eastAsia="it-IT"/>
        </w:rPr>
        <w:t>, ANCI,</w:t>
      </w:r>
      <w:r w:rsidR="00DB1F4A" w:rsidRPr="009D4788">
        <w:rPr>
          <w:rFonts w:ascii="Bookman Old Style" w:eastAsia="Times New Roman" w:hAnsi="Bookman Old Style" w:cs="Arial"/>
          <w:bCs/>
          <w:i/>
          <w:color w:val="FF0000"/>
          <w:sz w:val="24"/>
          <w:szCs w:val="24"/>
          <w:lang w:eastAsia="it-IT"/>
        </w:rPr>
        <w:t xml:space="preserve"> aveva presentato un emendamento al decreto</w:t>
      </w:r>
      <w:r w:rsidR="00AD7E25" w:rsidRPr="009D4788">
        <w:rPr>
          <w:rFonts w:ascii="Bookman Old Style" w:eastAsia="Times New Roman" w:hAnsi="Bookman Old Style" w:cs="Arial"/>
          <w:bCs/>
          <w:i/>
          <w:color w:val="FF0000"/>
          <w:sz w:val="24"/>
          <w:szCs w:val="24"/>
          <w:lang w:eastAsia="it-IT"/>
        </w:rPr>
        <w:t xml:space="preserve"> </w:t>
      </w:r>
      <w:r w:rsidR="00DB1F4A" w:rsidRPr="009D4788">
        <w:rPr>
          <w:rFonts w:ascii="Bookman Old Style" w:eastAsia="Times New Roman" w:hAnsi="Bookman Old Style" w:cs="Arial"/>
          <w:bCs/>
          <w:i/>
          <w:color w:val="FF0000"/>
          <w:sz w:val="24"/>
          <w:szCs w:val="24"/>
          <w:lang w:eastAsia="it-IT"/>
        </w:rPr>
        <w:t xml:space="preserve"> </w:t>
      </w:r>
      <w:proofErr w:type="spellStart"/>
      <w:r w:rsidR="00DB1F4A" w:rsidRPr="009D4788">
        <w:rPr>
          <w:rFonts w:ascii="Bookman Old Style" w:eastAsia="Times New Roman" w:hAnsi="Bookman Old Style" w:cs="Arial"/>
          <w:bCs/>
          <w:i/>
          <w:color w:val="FF0000"/>
          <w:sz w:val="24"/>
          <w:szCs w:val="24"/>
          <w:lang w:eastAsia="it-IT"/>
        </w:rPr>
        <w:t>milleproroghe</w:t>
      </w:r>
      <w:proofErr w:type="spellEnd"/>
      <w:r w:rsidR="00DB1F4A" w:rsidRPr="009D4788">
        <w:rPr>
          <w:rFonts w:ascii="Bookman Old Style" w:eastAsia="Times New Roman" w:hAnsi="Bookman Old Style" w:cs="Arial"/>
          <w:bCs/>
          <w:i/>
          <w:color w:val="FF0000"/>
          <w:sz w:val="24"/>
          <w:szCs w:val="24"/>
          <w:lang w:eastAsia="it-IT"/>
        </w:rPr>
        <w:t xml:space="preserve"> per il rinvio del termine del 18 ottobre)</w:t>
      </w:r>
      <w:r w:rsidRPr="009D4788">
        <w:rPr>
          <w:rFonts w:ascii="Bookman Old Style" w:eastAsia="Times New Roman" w:hAnsi="Bookman Old Style" w:cs="Arial"/>
          <w:bCs/>
          <w:i/>
          <w:color w:val="FF0000"/>
          <w:sz w:val="24"/>
          <w:szCs w:val="24"/>
          <w:lang w:eastAsia="it-IT"/>
        </w:rPr>
        <w:t>.</w:t>
      </w:r>
    </w:p>
    <w:p w:rsidR="00D43FC6" w:rsidRPr="00D43FC6" w:rsidRDefault="00D43FC6" w:rsidP="00D43FC6">
      <w:pPr>
        <w:spacing w:after="120" w:line="240" w:lineRule="auto"/>
        <w:ind w:left="720"/>
        <w:contextualSpacing/>
        <w:jc w:val="both"/>
        <w:rPr>
          <w:rFonts w:ascii="Bookman Old Style" w:eastAsia="Times New Roman" w:hAnsi="Bookman Old Style" w:cs="Arial"/>
          <w:bCs/>
          <w:i/>
          <w:sz w:val="24"/>
          <w:szCs w:val="24"/>
          <w:lang w:eastAsia="it-IT"/>
        </w:rPr>
      </w:pPr>
    </w:p>
    <w:p w:rsidR="00D43FC6" w:rsidRDefault="00D43FC6" w:rsidP="00D43FC6">
      <w:pPr>
        <w:spacing w:after="120" w:line="240" w:lineRule="auto"/>
        <w:contextualSpacing/>
        <w:jc w:val="both"/>
        <w:rPr>
          <w:rFonts w:ascii="Bookman Old Style" w:eastAsia="Times New Roman" w:hAnsi="Bookman Old Style" w:cs="Arial"/>
          <w:b/>
          <w:bCs/>
          <w:i/>
          <w:sz w:val="24"/>
          <w:szCs w:val="24"/>
          <w:lang w:eastAsia="it-IT"/>
        </w:rPr>
      </w:pPr>
      <w:r w:rsidRPr="00D43FC6">
        <w:rPr>
          <w:rFonts w:ascii="Bookman Old Style" w:eastAsia="Times New Roman" w:hAnsi="Bookman Old Style" w:cs="Arial"/>
          <w:b/>
          <w:bCs/>
          <w:i/>
          <w:sz w:val="24"/>
          <w:szCs w:val="24"/>
          <w:lang w:eastAsia="it-IT"/>
        </w:rPr>
        <w:t>2</w:t>
      </w:r>
      <w:r w:rsidR="00AD7E25">
        <w:rPr>
          <w:rFonts w:ascii="Bookman Old Style" w:eastAsia="Times New Roman" w:hAnsi="Bookman Old Style" w:cs="Arial"/>
          <w:b/>
          <w:bCs/>
          <w:i/>
          <w:sz w:val="24"/>
          <w:szCs w:val="24"/>
          <w:lang w:eastAsia="it-IT"/>
        </w:rPr>
        <w:t>.</w:t>
      </w:r>
      <w:r w:rsidRPr="00D43FC6">
        <w:rPr>
          <w:rFonts w:ascii="Bookman Old Style" w:eastAsia="Times New Roman" w:hAnsi="Bookman Old Style" w:cs="Arial"/>
          <w:b/>
          <w:bCs/>
          <w:i/>
          <w:sz w:val="24"/>
          <w:szCs w:val="24"/>
          <w:lang w:eastAsia="it-IT"/>
        </w:rPr>
        <w:t xml:space="preserve"> Utilizzo di piattaforme telematiche di negoziazione </w:t>
      </w:r>
    </w:p>
    <w:p w:rsidR="00C22372" w:rsidRPr="00D43FC6" w:rsidRDefault="00C22372" w:rsidP="00D43FC6">
      <w:pPr>
        <w:spacing w:after="120" w:line="240" w:lineRule="auto"/>
        <w:contextualSpacing/>
        <w:jc w:val="both"/>
        <w:rPr>
          <w:rFonts w:ascii="Bookman Old Style" w:eastAsia="Times New Roman" w:hAnsi="Bookman Old Style" w:cs="Arial"/>
          <w:b/>
          <w:bCs/>
          <w:i/>
          <w:sz w:val="24"/>
          <w:szCs w:val="24"/>
          <w:lang w:eastAsia="it-IT"/>
        </w:rPr>
      </w:pPr>
    </w:p>
    <w:p w:rsidR="00D43FC6" w:rsidRDefault="00D43FC6" w:rsidP="00D43FC6">
      <w:pPr>
        <w:spacing w:after="120" w:line="240" w:lineRule="auto"/>
        <w:jc w:val="both"/>
        <w:rPr>
          <w:rFonts w:ascii="Bookman Old Style" w:eastAsia="Constantia" w:hAnsi="Bookman Old Style" w:cs="Arial"/>
          <w:sz w:val="24"/>
          <w:szCs w:val="24"/>
          <w:lang w:eastAsia="it-IT"/>
        </w:rPr>
      </w:pPr>
      <w:r w:rsidRPr="00D43FC6">
        <w:rPr>
          <w:rFonts w:ascii="Bookman Old Style" w:eastAsia="Times New Roman" w:hAnsi="Bookman Old Style" w:cs="Arial"/>
          <w:bCs/>
          <w:sz w:val="24"/>
          <w:szCs w:val="24"/>
          <w:lang w:eastAsia="it-IT"/>
        </w:rPr>
        <w:t xml:space="preserve">In questo quadro normativo, alquanto incerto e frammentato, sicuramente </w:t>
      </w:r>
      <w:r w:rsidRPr="00D43FC6">
        <w:rPr>
          <w:rFonts w:ascii="Bookman Old Style" w:eastAsia="Times New Roman" w:hAnsi="Bookman Old Style" w:cs="Arial"/>
          <w:b/>
          <w:bCs/>
          <w:sz w:val="24"/>
          <w:szCs w:val="24"/>
          <w:lang w:eastAsia="it-IT"/>
        </w:rPr>
        <w:t>gli obblighi di comunicazione informatica di cui all’articolo 40 comma 2 del Codice, posso</w:t>
      </w:r>
      <w:r w:rsidR="00AD7E25">
        <w:rPr>
          <w:rFonts w:ascii="Bookman Old Style" w:eastAsia="Times New Roman" w:hAnsi="Bookman Old Style" w:cs="Arial"/>
          <w:b/>
          <w:bCs/>
          <w:sz w:val="24"/>
          <w:szCs w:val="24"/>
          <w:lang w:eastAsia="it-IT"/>
        </w:rPr>
        <w:t>no</w:t>
      </w:r>
      <w:r w:rsidRPr="00D43FC6">
        <w:rPr>
          <w:rFonts w:ascii="Bookman Old Style" w:eastAsia="Times New Roman" w:hAnsi="Bookman Old Style" w:cs="Arial"/>
          <w:b/>
          <w:bCs/>
          <w:sz w:val="24"/>
          <w:szCs w:val="24"/>
          <w:lang w:eastAsia="it-IT"/>
        </w:rPr>
        <w:t xml:space="preserve"> dirsi adempiuti </w:t>
      </w:r>
      <w:r w:rsidRPr="00D43FC6">
        <w:rPr>
          <w:rFonts w:ascii="Bookman Old Style" w:eastAsia="Constantia" w:hAnsi="Bookman Old Style" w:cs="Arial"/>
          <w:b/>
          <w:sz w:val="24"/>
          <w:szCs w:val="24"/>
          <w:lang w:eastAsia="it-IT"/>
        </w:rPr>
        <w:t xml:space="preserve">utilizzando </w:t>
      </w:r>
      <w:r w:rsidRPr="00AD7E25">
        <w:rPr>
          <w:rFonts w:ascii="Bookman Old Style" w:eastAsia="Constantia" w:hAnsi="Bookman Old Style" w:cs="Arial"/>
          <w:b/>
          <w:sz w:val="24"/>
          <w:szCs w:val="24"/>
          <w:u w:val="single"/>
          <w:lang w:eastAsia="it-IT"/>
        </w:rPr>
        <w:t>le</w:t>
      </w:r>
      <w:r w:rsidRPr="00AD7E25">
        <w:rPr>
          <w:rFonts w:ascii="Bookman Old Style" w:eastAsia="Constantia" w:hAnsi="Bookman Old Style" w:cs="Arial"/>
          <w:sz w:val="24"/>
          <w:szCs w:val="24"/>
          <w:u w:val="single"/>
          <w:lang w:eastAsia="it-IT"/>
        </w:rPr>
        <w:t xml:space="preserve"> </w:t>
      </w:r>
      <w:r w:rsidRPr="00AD7E25">
        <w:rPr>
          <w:rFonts w:ascii="Bookman Old Style" w:eastAsia="Constantia" w:hAnsi="Bookman Old Style" w:cs="Arial"/>
          <w:b/>
          <w:sz w:val="24"/>
          <w:szCs w:val="24"/>
          <w:u w:val="single"/>
          <w:lang w:eastAsia="it-IT"/>
        </w:rPr>
        <w:t>piattaforme elettroniche di negoziazione,</w:t>
      </w:r>
      <w:r w:rsidRPr="00D43FC6">
        <w:rPr>
          <w:rFonts w:ascii="Bookman Old Style" w:eastAsia="Times New Roman" w:hAnsi="Bookman Old Style" w:cs="Arial"/>
          <w:b/>
          <w:bCs/>
          <w:sz w:val="24"/>
          <w:szCs w:val="24"/>
          <w:lang w:eastAsia="it-IT"/>
        </w:rPr>
        <w:t xml:space="preserve"> che garantiscono</w:t>
      </w:r>
      <w:r w:rsidRPr="00D43FC6">
        <w:rPr>
          <w:rFonts w:ascii="Bookman Old Style" w:eastAsia="Constantia" w:hAnsi="Bookman Old Style" w:cs="Arial"/>
          <w:sz w:val="24"/>
          <w:szCs w:val="24"/>
          <w:lang w:eastAsia="it-IT"/>
        </w:rPr>
        <w:t xml:space="preserve"> </w:t>
      </w:r>
      <w:r w:rsidRPr="00D43FC6">
        <w:rPr>
          <w:rFonts w:ascii="Bookman Old Style" w:eastAsia="Constantia" w:hAnsi="Bookman Old Style" w:cs="Arial"/>
          <w:b/>
          <w:sz w:val="24"/>
          <w:szCs w:val="24"/>
          <w:lang w:eastAsia="it-IT"/>
        </w:rPr>
        <w:t>il rispetto dell’integrità dei dati e la riservatezza delle offerte nelle procedure di affidamento</w:t>
      </w:r>
      <w:r w:rsidRPr="00D43FC6">
        <w:rPr>
          <w:rFonts w:ascii="Bookman Old Style" w:eastAsia="Constantia" w:hAnsi="Bookman Old Style" w:cs="Arial"/>
          <w:sz w:val="24"/>
          <w:szCs w:val="24"/>
          <w:lang w:eastAsia="it-IT"/>
        </w:rPr>
        <w:t xml:space="preserve">. </w:t>
      </w:r>
      <w:r w:rsidR="00AD7E25">
        <w:rPr>
          <w:rFonts w:ascii="Bookman Old Style" w:eastAsia="Constantia" w:hAnsi="Bookman Old Style" w:cs="Arial"/>
          <w:sz w:val="24"/>
          <w:szCs w:val="24"/>
          <w:lang w:eastAsia="it-IT"/>
        </w:rPr>
        <w:t>L</w:t>
      </w:r>
      <w:r w:rsidRPr="00D43FC6">
        <w:rPr>
          <w:rFonts w:ascii="Bookman Old Style" w:eastAsia="Constantia" w:hAnsi="Bookman Old Style" w:cs="Arial"/>
          <w:sz w:val="24"/>
          <w:szCs w:val="24"/>
          <w:lang w:eastAsia="it-IT"/>
        </w:rPr>
        <w:t>e piccole</w:t>
      </w:r>
      <w:r w:rsidRPr="00D43FC6">
        <w:rPr>
          <w:rFonts w:ascii="Bookman Old Style" w:eastAsia="Constantia" w:hAnsi="Bookman Old Style" w:cs="Arial"/>
          <w:b/>
          <w:sz w:val="24"/>
          <w:szCs w:val="24"/>
          <w:lang w:eastAsia="it-IT"/>
        </w:rPr>
        <w:t xml:space="preserve"> </w:t>
      </w:r>
      <w:r w:rsidRPr="00D43FC6">
        <w:rPr>
          <w:rFonts w:ascii="Bookman Old Style" w:eastAsia="Constantia" w:hAnsi="Bookman Old Style" w:cs="Arial"/>
          <w:sz w:val="24"/>
          <w:szCs w:val="24"/>
          <w:lang w:eastAsia="it-IT"/>
        </w:rPr>
        <w:t xml:space="preserve">stazioni appaltanti, anche riunite in </w:t>
      </w:r>
      <w:proofErr w:type="spellStart"/>
      <w:r w:rsidRPr="00D43FC6">
        <w:rPr>
          <w:rFonts w:ascii="Bookman Old Style" w:eastAsia="Constantia" w:hAnsi="Bookman Old Style" w:cs="Arial"/>
          <w:sz w:val="24"/>
          <w:szCs w:val="24"/>
          <w:lang w:eastAsia="it-IT"/>
        </w:rPr>
        <w:t>Cuc</w:t>
      </w:r>
      <w:proofErr w:type="spellEnd"/>
      <w:r w:rsidRPr="00D43FC6">
        <w:rPr>
          <w:rFonts w:ascii="Bookman Old Style" w:eastAsia="Constantia" w:hAnsi="Bookman Old Style" w:cs="Arial"/>
          <w:sz w:val="24"/>
          <w:szCs w:val="24"/>
          <w:lang w:eastAsia="it-IT"/>
        </w:rPr>
        <w:t xml:space="preserve">, che non hanno avuto tempo e soprattutto non hanno risorse per creare una propria piattaforma di </w:t>
      </w:r>
      <w:r w:rsidRPr="00EA2713">
        <w:rPr>
          <w:rFonts w:ascii="Bookman Old Style" w:eastAsia="Constantia" w:hAnsi="Bookman Old Style" w:cs="Arial"/>
          <w:i/>
          <w:sz w:val="24"/>
          <w:szCs w:val="24"/>
          <w:lang w:eastAsia="it-IT"/>
        </w:rPr>
        <w:t>e-procurement</w:t>
      </w:r>
      <w:r w:rsidRPr="00D43FC6">
        <w:rPr>
          <w:rFonts w:ascii="Bookman Old Style" w:eastAsia="Constantia" w:hAnsi="Bookman Old Style" w:cs="Arial"/>
          <w:sz w:val="24"/>
          <w:szCs w:val="24"/>
          <w:lang w:eastAsia="it-IT"/>
        </w:rPr>
        <w:t xml:space="preserve">, possono </w:t>
      </w:r>
      <w:r w:rsidR="00AD7E25">
        <w:rPr>
          <w:rFonts w:ascii="Bookman Old Style" w:eastAsia="Constantia" w:hAnsi="Bookman Old Style" w:cs="Arial"/>
          <w:sz w:val="24"/>
          <w:szCs w:val="24"/>
          <w:lang w:eastAsia="it-IT"/>
        </w:rPr>
        <w:t xml:space="preserve">quindi </w:t>
      </w:r>
      <w:r w:rsidRPr="00D43FC6">
        <w:rPr>
          <w:rFonts w:ascii="Bookman Old Style" w:eastAsia="Constantia" w:hAnsi="Bookman Old Style" w:cs="Arial"/>
          <w:sz w:val="24"/>
          <w:szCs w:val="24"/>
          <w:lang w:eastAsia="it-IT"/>
        </w:rPr>
        <w:t xml:space="preserve">delegare la gara ad una Centrale di Committenza o altro soggetto aggregatore di riferimento, che abbia costituito la piattaforma </w:t>
      </w:r>
      <w:r w:rsidRPr="00EA2713">
        <w:rPr>
          <w:rFonts w:ascii="Bookman Old Style" w:eastAsia="Constantia" w:hAnsi="Bookman Old Style" w:cs="Arial"/>
          <w:i/>
          <w:sz w:val="24"/>
          <w:szCs w:val="24"/>
          <w:lang w:eastAsia="it-IT"/>
        </w:rPr>
        <w:t>e</w:t>
      </w:r>
      <w:r w:rsidR="00AD7E25" w:rsidRPr="00EA2713">
        <w:rPr>
          <w:rFonts w:ascii="Bookman Old Style" w:eastAsia="Constantia" w:hAnsi="Bookman Old Style" w:cs="Arial"/>
          <w:i/>
          <w:sz w:val="24"/>
          <w:szCs w:val="24"/>
          <w:lang w:eastAsia="it-IT"/>
        </w:rPr>
        <w:t>-</w:t>
      </w:r>
      <w:r w:rsidRPr="00EA2713">
        <w:rPr>
          <w:rFonts w:ascii="Bookman Old Style" w:eastAsia="Constantia" w:hAnsi="Bookman Old Style" w:cs="Arial"/>
          <w:i/>
          <w:sz w:val="24"/>
          <w:szCs w:val="24"/>
          <w:lang w:eastAsia="it-IT"/>
        </w:rPr>
        <w:t>procurement</w:t>
      </w:r>
      <w:r w:rsidRPr="00D43FC6">
        <w:rPr>
          <w:rFonts w:ascii="Bookman Old Style" w:eastAsia="Constantia" w:hAnsi="Bookman Old Style" w:cs="Arial"/>
          <w:sz w:val="24"/>
          <w:szCs w:val="24"/>
          <w:lang w:eastAsia="it-IT"/>
        </w:rPr>
        <w:t xml:space="preserve">, o convenzionarsi, con piattaforme </w:t>
      </w:r>
      <w:r w:rsidRPr="00EA2713">
        <w:rPr>
          <w:rFonts w:ascii="Bookman Old Style" w:eastAsia="Constantia" w:hAnsi="Bookman Old Style" w:cs="Arial"/>
          <w:i/>
          <w:sz w:val="24"/>
          <w:szCs w:val="24"/>
          <w:lang w:eastAsia="it-IT"/>
        </w:rPr>
        <w:t>e</w:t>
      </w:r>
      <w:r w:rsidR="00AD7E25" w:rsidRPr="00EA2713">
        <w:rPr>
          <w:rFonts w:ascii="Bookman Old Style" w:eastAsia="Constantia" w:hAnsi="Bookman Old Style" w:cs="Arial"/>
          <w:i/>
          <w:sz w:val="24"/>
          <w:szCs w:val="24"/>
          <w:lang w:eastAsia="it-IT"/>
        </w:rPr>
        <w:t>-</w:t>
      </w:r>
      <w:r w:rsidRPr="00EA2713">
        <w:rPr>
          <w:rFonts w:ascii="Bookman Old Style" w:eastAsia="Constantia" w:hAnsi="Bookman Old Style" w:cs="Arial"/>
          <w:i/>
          <w:sz w:val="24"/>
          <w:szCs w:val="24"/>
          <w:lang w:eastAsia="it-IT"/>
        </w:rPr>
        <w:t>procurement</w:t>
      </w:r>
      <w:r w:rsidRPr="00D43FC6">
        <w:rPr>
          <w:rFonts w:ascii="Bookman Old Style" w:eastAsia="Constantia" w:hAnsi="Bookman Old Style" w:cs="Arial"/>
          <w:sz w:val="24"/>
          <w:szCs w:val="24"/>
          <w:lang w:eastAsia="it-IT"/>
        </w:rPr>
        <w:t xml:space="preserve"> che offrono tale servizio sul mercato.</w:t>
      </w:r>
    </w:p>
    <w:p w:rsidR="00D43FC6" w:rsidRPr="00D43FC6" w:rsidRDefault="00D43FC6" w:rsidP="00D43FC6">
      <w:pPr>
        <w:spacing w:after="120" w:line="240" w:lineRule="auto"/>
        <w:jc w:val="both"/>
        <w:rPr>
          <w:rFonts w:ascii="Bookman Old Style" w:eastAsia="Constantia" w:hAnsi="Bookman Old Style" w:cs="Arial"/>
          <w:sz w:val="24"/>
          <w:szCs w:val="24"/>
          <w:lang w:eastAsia="it-IT"/>
        </w:rPr>
      </w:pPr>
    </w:p>
    <w:p w:rsidR="00D43FC6" w:rsidRDefault="00D43FC6" w:rsidP="00D43FC6">
      <w:pPr>
        <w:spacing w:after="120" w:line="240" w:lineRule="auto"/>
        <w:jc w:val="both"/>
        <w:rPr>
          <w:rFonts w:ascii="Bookman Old Style" w:eastAsia="Times New Roman" w:hAnsi="Bookman Old Style" w:cs="Arial"/>
          <w:b/>
          <w:bCs/>
          <w:i/>
          <w:sz w:val="24"/>
          <w:szCs w:val="24"/>
          <w:lang w:eastAsia="it-IT"/>
        </w:rPr>
      </w:pPr>
      <w:r w:rsidRPr="00D43FC6">
        <w:rPr>
          <w:rFonts w:ascii="Bookman Old Style" w:eastAsia="Constantia" w:hAnsi="Bookman Old Style" w:cs="Arial"/>
          <w:b/>
          <w:i/>
          <w:sz w:val="24"/>
          <w:szCs w:val="24"/>
          <w:lang w:eastAsia="it-IT"/>
        </w:rPr>
        <w:t xml:space="preserve">3. Distinzione tra </w:t>
      </w:r>
      <w:r w:rsidR="00AD7E25">
        <w:rPr>
          <w:rFonts w:ascii="Bookman Old Style" w:eastAsia="Times New Roman" w:hAnsi="Bookman Old Style" w:cs="Arial"/>
          <w:b/>
          <w:bCs/>
          <w:i/>
          <w:sz w:val="24"/>
          <w:szCs w:val="24"/>
          <w:lang w:eastAsia="it-IT"/>
        </w:rPr>
        <w:t xml:space="preserve">utilizzo di una </w:t>
      </w:r>
      <w:r w:rsidRPr="00D43FC6">
        <w:rPr>
          <w:rFonts w:ascii="Bookman Old Style" w:eastAsia="Times New Roman" w:hAnsi="Bookman Old Style" w:cs="Arial"/>
          <w:b/>
          <w:bCs/>
          <w:i/>
          <w:sz w:val="24"/>
          <w:szCs w:val="24"/>
          <w:lang w:eastAsia="it-IT"/>
        </w:rPr>
        <w:t>piattafo</w:t>
      </w:r>
      <w:r w:rsidR="00AD7E25">
        <w:rPr>
          <w:rFonts w:ascii="Bookman Old Style" w:eastAsia="Times New Roman" w:hAnsi="Bookman Old Style" w:cs="Arial"/>
          <w:b/>
          <w:bCs/>
          <w:i/>
          <w:sz w:val="24"/>
          <w:szCs w:val="24"/>
          <w:lang w:eastAsia="it-IT"/>
        </w:rPr>
        <w:t>rma informatica di negoziazione</w:t>
      </w:r>
      <w:r w:rsidRPr="00D43FC6">
        <w:rPr>
          <w:rFonts w:ascii="Bookman Old Style" w:eastAsia="Times New Roman" w:hAnsi="Bookman Old Style" w:cs="Arial"/>
          <w:b/>
          <w:bCs/>
          <w:i/>
          <w:sz w:val="24"/>
          <w:szCs w:val="24"/>
          <w:lang w:eastAsia="it-IT"/>
        </w:rPr>
        <w:t>, e strumenti di comunicazione digitali</w:t>
      </w:r>
    </w:p>
    <w:p w:rsidR="00C22372" w:rsidRPr="00D43FC6" w:rsidRDefault="00C22372" w:rsidP="00D43FC6">
      <w:pPr>
        <w:spacing w:after="120" w:line="240" w:lineRule="auto"/>
        <w:jc w:val="both"/>
        <w:rPr>
          <w:rFonts w:ascii="Bookman Old Style" w:eastAsia="Times New Roman" w:hAnsi="Bookman Old Style" w:cs="Arial"/>
          <w:b/>
          <w:bCs/>
          <w:i/>
          <w:sz w:val="24"/>
          <w:szCs w:val="24"/>
          <w:lang w:eastAsia="it-IT"/>
        </w:rPr>
      </w:pPr>
    </w:p>
    <w:p w:rsidR="00D43FC6" w:rsidRPr="00D43FC6" w:rsidRDefault="00AD7E25" w:rsidP="00D43FC6">
      <w:pPr>
        <w:spacing w:after="120" w:line="240" w:lineRule="auto"/>
        <w:jc w:val="both"/>
        <w:rPr>
          <w:rFonts w:ascii="Bookman Old Style" w:eastAsia="Times New Roman" w:hAnsi="Bookman Old Style" w:cs="Arial"/>
          <w:bCs/>
          <w:sz w:val="24"/>
          <w:szCs w:val="24"/>
          <w:lang w:eastAsia="it-IT"/>
        </w:rPr>
      </w:pPr>
      <w:r>
        <w:rPr>
          <w:rFonts w:ascii="Bookman Old Style" w:eastAsia="Times New Roman" w:hAnsi="Bookman Old Style" w:cs="Arial"/>
          <w:bCs/>
          <w:sz w:val="24"/>
          <w:szCs w:val="24"/>
          <w:lang w:eastAsia="it-IT"/>
        </w:rPr>
        <w:t xml:space="preserve">Se l’utilizzo di piattaforme elettroniche di negoziazione, come sopra descritte, soddisfa pienamente l’adempimento dell’obbligo </w:t>
      </w:r>
      <w:r w:rsidRPr="008478EC">
        <w:rPr>
          <w:rFonts w:ascii="Bookman Old Style" w:eastAsia="Times New Roman" w:hAnsi="Bookman Old Style" w:cs="Arial"/>
          <w:bCs/>
          <w:i/>
          <w:sz w:val="24"/>
          <w:szCs w:val="24"/>
          <w:lang w:eastAsia="it-IT"/>
        </w:rPr>
        <w:t>de quo</w:t>
      </w:r>
      <w:r>
        <w:rPr>
          <w:rFonts w:ascii="Bookman Old Style" w:eastAsia="Times New Roman" w:hAnsi="Bookman Old Style" w:cs="Arial"/>
          <w:bCs/>
          <w:sz w:val="24"/>
          <w:szCs w:val="24"/>
          <w:lang w:eastAsia="it-IT"/>
        </w:rPr>
        <w:t>, a</w:t>
      </w:r>
      <w:r w:rsidR="00D43FC6" w:rsidRPr="00D43FC6">
        <w:rPr>
          <w:rFonts w:ascii="Bookman Old Style" w:eastAsia="Times New Roman" w:hAnsi="Bookman Old Style" w:cs="Arial"/>
          <w:bCs/>
          <w:sz w:val="24"/>
          <w:szCs w:val="24"/>
          <w:lang w:eastAsia="it-IT"/>
        </w:rPr>
        <w:t xml:space="preserve">d avviso di ANCI, è </w:t>
      </w:r>
      <w:r w:rsidR="00D43FC6" w:rsidRPr="00D43FC6">
        <w:rPr>
          <w:rFonts w:ascii="Bookman Old Style" w:eastAsia="Times New Roman" w:hAnsi="Bookman Old Style" w:cs="Arial"/>
          <w:b/>
          <w:bCs/>
          <w:sz w:val="24"/>
          <w:szCs w:val="24"/>
          <w:lang w:eastAsia="it-IT"/>
        </w:rPr>
        <w:t xml:space="preserve">necessario distinguere </w:t>
      </w:r>
      <w:r>
        <w:rPr>
          <w:rFonts w:ascii="Bookman Old Style" w:eastAsia="Times New Roman" w:hAnsi="Bookman Old Style" w:cs="Arial"/>
          <w:b/>
          <w:bCs/>
          <w:sz w:val="24"/>
          <w:szCs w:val="24"/>
          <w:lang w:eastAsia="it-IT"/>
        </w:rPr>
        <w:t xml:space="preserve">l’utilizzo di una </w:t>
      </w:r>
      <w:r w:rsidR="00D43FC6" w:rsidRPr="00D43FC6">
        <w:rPr>
          <w:rFonts w:ascii="Bookman Old Style" w:eastAsia="Times New Roman" w:hAnsi="Bookman Old Style" w:cs="Arial"/>
          <w:b/>
          <w:bCs/>
          <w:sz w:val="24"/>
          <w:szCs w:val="24"/>
          <w:lang w:eastAsia="it-IT"/>
        </w:rPr>
        <w:t>piattaf</w:t>
      </w:r>
      <w:r>
        <w:rPr>
          <w:rFonts w:ascii="Bookman Old Style" w:eastAsia="Times New Roman" w:hAnsi="Bookman Old Style" w:cs="Arial"/>
          <w:b/>
          <w:bCs/>
          <w:sz w:val="24"/>
          <w:szCs w:val="24"/>
          <w:lang w:eastAsia="it-IT"/>
        </w:rPr>
        <w:t>orma informatica di negoziazione</w:t>
      </w:r>
      <w:r w:rsidR="00D43FC6" w:rsidRPr="00D43FC6">
        <w:rPr>
          <w:rFonts w:ascii="Bookman Old Style" w:eastAsia="Times New Roman" w:hAnsi="Bookman Old Style" w:cs="Arial"/>
          <w:b/>
          <w:bCs/>
          <w:sz w:val="24"/>
          <w:szCs w:val="24"/>
          <w:lang w:eastAsia="it-IT"/>
        </w:rPr>
        <w:t>,</w:t>
      </w:r>
      <w:r w:rsidR="00D43FC6" w:rsidRPr="00D43FC6">
        <w:rPr>
          <w:rFonts w:ascii="Bookman Old Style" w:eastAsia="Times New Roman" w:hAnsi="Bookman Old Style" w:cs="Arial"/>
          <w:bCs/>
          <w:sz w:val="24"/>
          <w:szCs w:val="24"/>
          <w:lang w:eastAsia="it-IT"/>
        </w:rPr>
        <w:t xml:space="preserve"> di cui all’art. 58, </w:t>
      </w:r>
      <w:r>
        <w:rPr>
          <w:rFonts w:ascii="Bookman Old Style" w:eastAsia="Times New Roman" w:hAnsi="Bookman Old Style" w:cs="Arial"/>
          <w:b/>
          <w:bCs/>
          <w:sz w:val="24"/>
          <w:szCs w:val="24"/>
          <w:lang w:eastAsia="it-IT"/>
        </w:rPr>
        <w:t xml:space="preserve">dall’obbligo di </w:t>
      </w:r>
      <w:r w:rsidR="00D43FC6" w:rsidRPr="00D43FC6">
        <w:rPr>
          <w:rFonts w:ascii="Bookman Old Style" w:eastAsia="Times New Roman" w:hAnsi="Bookman Old Style" w:cs="Arial"/>
          <w:b/>
          <w:bCs/>
          <w:sz w:val="24"/>
          <w:szCs w:val="24"/>
          <w:lang w:eastAsia="it-IT"/>
        </w:rPr>
        <w:t>utilizzo di stru</w:t>
      </w:r>
      <w:r>
        <w:rPr>
          <w:rFonts w:ascii="Bookman Old Style" w:eastAsia="Times New Roman" w:hAnsi="Bookman Old Style" w:cs="Arial"/>
          <w:b/>
          <w:bCs/>
          <w:sz w:val="24"/>
          <w:szCs w:val="24"/>
          <w:lang w:eastAsia="it-IT"/>
        </w:rPr>
        <w:t>menti di comunicazione digitali</w:t>
      </w:r>
      <w:r w:rsidR="00D43FC6" w:rsidRPr="00D43FC6">
        <w:rPr>
          <w:rFonts w:ascii="Bookman Old Style" w:eastAsia="Times New Roman" w:hAnsi="Bookman Old Style" w:cs="Arial"/>
          <w:b/>
          <w:bCs/>
          <w:sz w:val="24"/>
          <w:szCs w:val="24"/>
          <w:lang w:eastAsia="it-IT"/>
        </w:rPr>
        <w:t xml:space="preserve"> </w:t>
      </w:r>
      <w:r>
        <w:rPr>
          <w:rFonts w:ascii="Bookman Old Style" w:eastAsia="Times New Roman" w:hAnsi="Bookman Old Style" w:cs="Arial"/>
          <w:bCs/>
          <w:sz w:val="24"/>
          <w:szCs w:val="24"/>
          <w:lang w:eastAsia="it-IT"/>
        </w:rPr>
        <w:t>di cui all’articolo 40.</w:t>
      </w:r>
    </w:p>
    <w:p w:rsidR="00C22372" w:rsidRDefault="00C22372" w:rsidP="00D43FC6">
      <w:pPr>
        <w:spacing w:after="120" w:line="240" w:lineRule="auto"/>
        <w:jc w:val="both"/>
        <w:rPr>
          <w:rFonts w:ascii="Bookman Old Style" w:eastAsia="Times New Roman" w:hAnsi="Bookman Old Style" w:cs="Arial"/>
          <w:bCs/>
          <w:sz w:val="24"/>
          <w:szCs w:val="24"/>
          <w:lang w:eastAsia="it-IT"/>
        </w:rPr>
      </w:pPr>
    </w:p>
    <w:p w:rsidR="00D43FC6" w:rsidRPr="00D43FC6" w:rsidRDefault="00AD7E25" w:rsidP="00D43FC6">
      <w:pPr>
        <w:spacing w:after="120" w:line="240" w:lineRule="auto"/>
        <w:jc w:val="both"/>
        <w:rPr>
          <w:rFonts w:ascii="Bookman Old Style" w:eastAsia="Times New Roman" w:hAnsi="Bookman Old Style" w:cs="Arial"/>
          <w:bCs/>
          <w:sz w:val="24"/>
          <w:szCs w:val="24"/>
          <w:lang w:eastAsia="it-IT"/>
        </w:rPr>
      </w:pPr>
      <w:r w:rsidRPr="009D4788">
        <w:rPr>
          <w:rFonts w:ascii="Bookman Old Style" w:eastAsia="Times New Roman" w:hAnsi="Bookman Old Style" w:cs="Arial"/>
          <w:bCs/>
          <w:color w:val="FF0000"/>
          <w:sz w:val="24"/>
          <w:szCs w:val="24"/>
          <w:highlight w:val="yellow"/>
          <w:lang w:eastAsia="it-IT"/>
        </w:rPr>
        <w:t xml:space="preserve">In particolare, si ritiene che dal 18 ottobre u.s. ci sia unicamente la necessità per tutte le stazioni appaltanti di utilizzare idonei strumenti informatici per la trasmissione e ricezione della documentazione di gara, ma non vi sia </w:t>
      </w:r>
      <w:r w:rsidR="00D43FC6" w:rsidRPr="009D4788">
        <w:rPr>
          <w:rFonts w:ascii="Bookman Old Style" w:eastAsia="Times New Roman" w:hAnsi="Bookman Old Style" w:cs="Arial"/>
          <w:b/>
          <w:bCs/>
          <w:i/>
          <w:color w:val="FF0000"/>
          <w:sz w:val="24"/>
          <w:szCs w:val="24"/>
          <w:highlight w:val="yellow"/>
          <w:lang w:eastAsia="it-IT"/>
        </w:rPr>
        <w:t xml:space="preserve">alcun obbligo di ricorso alle procedure telematiche, </w:t>
      </w:r>
      <w:r w:rsidR="00D43FC6" w:rsidRPr="009D4788">
        <w:rPr>
          <w:rFonts w:ascii="Bookman Old Style" w:eastAsia="Times New Roman" w:hAnsi="Bookman Old Style" w:cs="Arial"/>
          <w:b/>
          <w:bCs/>
          <w:color w:val="FF0000"/>
          <w:sz w:val="24"/>
          <w:szCs w:val="24"/>
          <w:highlight w:val="yellow"/>
          <w:lang w:eastAsia="it-IT"/>
        </w:rPr>
        <w:t>di cui all’art. 58</w:t>
      </w:r>
      <w:r w:rsidR="00D43FC6" w:rsidRPr="009D4788">
        <w:rPr>
          <w:rFonts w:ascii="Bookman Old Style" w:eastAsia="Times New Roman" w:hAnsi="Bookman Old Style" w:cs="Arial"/>
          <w:bCs/>
          <w:color w:val="FF0000"/>
          <w:sz w:val="24"/>
          <w:szCs w:val="24"/>
          <w:highlight w:val="yellow"/>
          <w:lang w:eastAsia="it-IT"/>
        </w:rPr>
        <w:t>.</w:t>
      </w:r>
      <w:r w:rsidR="00D43FC6" w:rsidRPr="009D4788">
        <w:rPr>
          <w:rFonts w:ascii="Bookman Old Style" w:eastAsia="Times New Roman" w:hAnsi="Bookman Old Style" w:cs="Arial"/>
          <w:bCs/>
          <w:color w:val="FF0000"/>
          <w:sz w:val="24"/>
          <w:szCs w:val="24"/>
          <w:lang w:eastAsia="it-IT"/>
        </w:rPr>
        <w:t xml:space="preserve">   </w:t>
      </w:r>
    </w:p>
    <w:p w:rsidR="00D43FC6" w:rsidRPr="00EA2713" w:rsidRDefault="00AD7E25" w:rsidP="00D43FC6">
      <w:pPr>
        <w:spacing w:after="120" w:line="240" w:lineRule="auto"/>
        <w:jc w:val="both"/>
        <w:rPr>
          <w:rFonts w:ascii="Bookman Old Style" w:eastAsia="Times New Roman" w:hAnsi="Bookman Old Style" w:cs="Arial"/>
          <w:b/>
          <w:bCs/>
          <w:sz w:val="24"/>
          <w:szCs w:val="24"/>
          <w:lang w:eastAsia="it-IT"/>
        </w:rPr>
      </w:pPr>
      <w:r>
        <w:rPr>
          <w:rFonts w:ascii="Bookman Old Style" w:eastAsia="Times New Roman" w:hAnsi="Bookman Old Style" w:cs="Arial"/>
          <w:bCs/>
          <w:sz w:val="24"/>
          <w:szCs w:val="24"/>
          <w:lang w:eastAsia="it-IT"/>
        </w:rPr>
        <w:t xml:space="preserve">Il ragionamento </w:t>
      </w:r>
      <w:r w:rsidR="00EA2713">
        <w:rPr>
          <w:rFonts w:ascii="Bookman Old Style" w:eastAsia="Times New Roman" w:hAnsi="Bookman Old Style" w:cs="Arial"/>
          <w:bCs/>
          <w:sz w:val="24"/>
          <w:szCs w:val="24"/>
          <w:lang w:eastAsia="it-IT"/>
        </w:rPr>
        <w:t>logico-</w:t>
      </w:r>
      <w:r>
        <w:rPr>
          <w:rFonts w:ascii="Bookman Old Style" w:eastAsia="Times New Roman" w:hAnsi="Bookman Old Style" w:cs="Arial"/>
          <w:bCs/>
          <w:sz w:val="24"/>
          <w:szCs w:val="24"/>
          <w:lang w:eastAsia="it-IT"/>
        </w:rPr>
        <w:t xml:space="preserve">giuridico alla base di tale </w:t>
      </w:r>
      <w:r w:rsidR="00EA2713">
        <w:rPr>
          <w:rFonts w:ascii="Bookman Old Style" w:eastAsia="Times New Roman" w:hAnsi="Bookman Old Style" w:cs="Arial"/>
          <w:bCs/>
          <w:sz w:val="24"/>
          <w:szCs w:val="24"/>
          <w:lang w:eastAsia="it-IT"/>
        </w:rPr>
        <w:t>affermazione, si base sulla motivazione dell’</w:t>
      </w:r>
      <w:r w:rsidR="00D43FC6" w:rsidRPr="00D43FC6">
        <w:rPr>
          <w:rFonts w:ascii="Bookman Old Style" w:eastAsia="Times New Roman" w:hAnsi="Bookman Old Style" w:cs="Arial"/>
          <w:bCs/>
          <w:sz w:val="24"/>
          <w:szCs w:val="24"/>
          <w:lang w:eastAsia="it-IT"/>
        </w:rPr>
        <w:t>articolo 52 della direttiva Ue n. 24/2014, in base alla quale «</w:t>
      </w:r>
      <w:r w:rsidR="00D43FC6" w:rsidRPr="00EA2713">
        <w:rPr>
          <w:rFonts w:ascii="Bookman Old Style" w:eastAsia="Times New Roman" w:hAnsi="Bookman Old Style" w:cs="Arial"/>
          <w:b/>
          <w:bCs/>
          <w:i/>
          <w:sz w:val="24"/>
          <w:szCs w:val="24"/>
          <w:lang w:eastAsia="it-IT"/>
        </w:rPr>
        <w:t xml:space="preserve">il ricorso obbligatorio a mezzi di comunicazione elettronici ai sensi della presente direttiva </w:t>
      </w:r>
      <w:r w:rsidR="00D43FC6" w:rsidRPr="00EA2713">
        <w:rPr>
          <w:rFonts w:ascii="Bookman Old Style" w:eastAsia="Times New Roman" w:hAnsi="Bookman Old Style" w:cs="Arial"/>
          <w:b/>
          <w:bCs/>
          <w:i/>
          <w:sz w:val="24"/>
          <w:szCs w:val="24"/>
          <w:u w:val="single"/>
          <w:lang w:eastAsia="it-IT"/>
        </w:rPr>
        <w:t>non dovrebbe tuttavia obbligare le amministrazioni aggiudicatrici a effettuare il trattamento elettronico delle offerte</w:t>
      </w:r>
      <w:r w:rsidR="00D43FC6" w:rsidRPr="00EA2713">
        <w:rPr>
          <w:rFonts w:ascii="Bookman Old Style" w:eastAsia="Times New Roman" w:hAnsi="Bookman Old Style" w:cs="Arial"/>
          <w:b/>
          <w:bCs/>
          <w:i/>
          <w:sz w:val="24"/>
          <w:szCs w:val="24"/>
          <w:lang w:eastAsia="it-IT"/>
        </w:rPr>
        <w:t xml:space="preserve">, </w:t>
      </w:r>
      <w:r w:rsidR="00D43FC6" w:rsidRPr="00EA2713">
        <w:rPr>
          <w:rFonts w:ascii="Bookman Old Style" w:eastAsia="Times New Roman" w:hAnsi="Bookman Old Style" w:cs="Arial"/>
          <w:b/>
          <w:bCs/>
          <w:i/>
          <w:sz w:val="24"/>
          <w:szCs w:val="24"/>
          <w:u w:val="single"/>
          <w:lang w:eastAsia="it-IT"/>
        </w:rPr>
        <w:t>né a procedere alla valutazione elettronica o al trattamento automatizzato</w:t>
      </w:r>
      <w:r w:rsidR="00D43FC6" w:rsidRPr="00EA2713">
        <w:rPr>
          <w:rFonts w:ascii="Bookman Old Style" w:eastAsia="Times New Roman" w:hAnsi="Bookman Old Style" w:cs="Arial"/>
          <w:b/>
          <w:bCs/>
          <w:sz w:val="24"/>
          <w:szCs w:val="24"/>
          <w:lang w:eastAsia="it-IT"/>
        </w:rPr>
        <w:t>».</w:t>
      </w:r>
    </w:p>
    <w:p w:rsidR="00D43FC6" w:rsidRPr="009D4788" w:rsidRDefault="00EA2713" w:rsidP="00D43FC6">
      <w:pPr>
        <w:spacing w:after="120" w:line="240" w:lineRule="auto"/>
        <w:jc w:val="both"/>
        <w:rPr>
          <w:rFonts w:ascii="Bookman Old Style" w:eastAsia="Times New Roman" w:hAnsi="Bookman Old Style" w:cs="Arial"/>
          <w:b/>
          <w:bCs/>
          <w:color w:val="FF0000"/>
          <w:sz w:val="24"/>
          <w:szCs w:val="24"/>
          <w:lang w:eastAsia="it-IT"/>
        </w:rPr>
      </w:pPr>
      <w:r w:rsidRPr="009D4788">
        <w:rPr>
          <w:rFonts w:ascii="Bookman Old Style" w:eastAsia="Times New Roman" w:hAnsi="Bookman Old Style" w:cs="Arial"/>
          <w:b/>
          <w:bCs/>
          <w:color w:val="FF0000"/>
          <w:sz w:val="24"/>
          <w:szCs w:val="24"/>
          <w:highlight w:val="yellow"/>
          <w:lang w:eastAsia="it-IT"/>
        </w:rPr>
        <w:t>Ciò peraltro risulta</w:t>
      </w:r>
      <w:r w:rsidR="00D43FC6" w:rsidRPr="009D4788">
        <w:rPr>
          <w:rFonts w:ascii="Bookman Old Style" w:eastAsia="Times New Roman" w:hAnsi="Bookman Old Style" w:cs="Arial"/>
          <w:b/>
          <w:bCs/>
          <w:color w:val="FF0000"/>
          <w:sz w:val="24"/>
          <w:szCs w:val="24"/>
          <w:highlight w:val="yellow"/>
          <w:lang w:eastAsia="it-IT"/>
        </w:rPr>
        <w:t xml:space="preserve"> conf</w:t>
      </w:r>
      <w:r w:rsidRPr="009D4788">
        <w:rPr>
          <w:rFonts w:ascii="Bookman Old Style" w:eastAsia="Times New Roman" w:hAnsi="Bookman Old Style" w:cs="Arial"/>
          <w:b/>
          <w:bCs/>
          <w:color w:val="FF0000"/>
          <w:sz w:val="24"/>
          <w:szCs w:val="24"/>
          <w:highlight w:val="yellow"/>
          <w:lang w:eastAsia="it-IT"/>
        </w:rPr>
        <w:t xml:space="preserve">ermato dall’ articolo 37 comma 2, </w:t>
      </w:r>
      <w:r w:rsidR="00D43FC6" w:rsidRPr="009D4788">
        <w:rPr>
          <w:rFonts w:ascii="Bookman Old Style" w:eastAsia="Times New Roman" w:hAnsi="Bookman Old Style" w:cs="Arial"/>
          <w:b/>
          <w:bCs/>
          <w:color w:val="FF0000"/>
          <w:sz w:val="24"/>
          <w:szCs w:val="24"/>
          <w:highlight w:val="yellow"/>
          <w:lang w:eastAsia="it-IT"/>
        </w:rPr>
        <w:t xml:space="preserve">del Codice </w:t>
      </w:r>
      <w:r w:rsidRPr="009D4788">
        <w:rPr>
          <w:rFonts w:ascii="Bookman Old Style" w:eastAsia="Times New Roman" w:hAnsi="Bookman Old Style" w:cs="Arial"/>
          <w:b/>
          <w:bCs/>
          <w:color w:val="FF0000"/>
          <w:sz w:val="24"/>
          <w:szCs w:val="24"/>
          <w:highlight w:val="yellow"/>
          <w:lang w:eastAsia="it-IT"/>
        </w:rPr>
        <w:t xml:space="preserve">degli Appalti </w:t>
      </w:r>
      <w:r w:rsidR="00D43FC6" w:rsidRPr="009D4788">
        <w:rPr>
          <w:rFonts w:ascii="Bookman Old Style" w:eastAsia="Times New Roman" w:hAnsi="Bookman Old Style" w:cs="Arial"/>
          <w:b/>
          <w:bCs/>
          <w:color w:val="FF0000"/>
          <w:sz w:val="24"/>
          <w:szCs w:val="24"/>
          <w:highlight w:val="yellow"/>
          <w:lang w:eastAsia="it-IT"/>
        </w:rPr>
        <w:t xml:space="preserve">che prevede la possibilità, </w:t>
      </w:r>
      <w:r w:rsidRPr="009D4788">
        <w:rPr>
          <w:rFonts w:ascii="Bookman Old Style" w:eastAsia="Times New Roman" w:hAnsi="Bookman Old Style" w:cs="Arial"/>
          <w:b/>
          <w:bCs/>
          <w:color w:val="FF0000"/>
          <w:sz w:val="24"/>
          <w:szCs w:val="24"/>
          <w:highlight w:val="yellow"/>
          <w:lang w:eastAsia="it-IT"/>
        </w:rPr>
        <w:t xml:space="preserve">per tutte le stazioni appaltanti, </w:t>
      </w:r>
      <w:r w:rsidR="00D43FC6" w:rsidRPr="009D4788">
        <w:rPr>
          <w:rFonts w:ascii="Bookman Old Style" w:eastAsia="Times New Roman" w:hAnsi="Bookman Old Style" w:cs="Arial"/>
          <w:b/>
          <w:bCs/>
          <w:color w:val="FF0000"/>
          <w:sz w:val="24"/>
          <w:szCs w:val="24"/>
          <w:highlight w:val="yellow"/>
          <w:lang w:eastAsia="it-IT"/>
        </w:rPr>
        <w:t xml:space="preserve">in caso indisponibilità </w:t>
      </w:r>
      <w:r w:rsidRPr="009D4788">
        <w:rPr>
          <w:rFonts w:ascii="Bookman Old Style" w:eastAsia="Times New Roman" w:hAnsi="Bookman Old Style" w:cs="Arial"/>
          <w:b/>
          <w:bCs/>
          <w:color w:val="FF0000"/>
          <w:sz w:val="24"/>
          <w:szCs w:val="24"/>
          <w:highlight w:val="yellow"/>
          <w:lang w:eastAsia="it-IT"/>
        </w:rPr>
        <w:t xml:space="preserve">di strumenti telematici di negoziazione, </w:t>
      </w:r>
      <w:r w:rsidR="00D43FC6" w:rsidRPr="009D4788">
        <w:rPr>
          <w:rFonts w:ascii="Bookman Old Style" w:eastAsia="Times New Roman" w:hAnsi="Bookman Old Style" w:cs="Arial"/>
          <w:b/>
          <w:bCs/>
          <w:color w:val="FF0000"/>
          <w:sz w:val="24"/>
          <w:szCs w:val="24"/>
          <w:highlight w:val="yellow"/>
          <w:lang w:eastAsia="it-IT"/>
        </w:rPr>
        <w:t>di ricorrere agli affidamenti con procedure ordinarie.</w:t>
      </w:r>
    </w:p>
    <w:p w:rsidR="00D43FC6" w:rsidRPr="00D43FC6" w:rsidRDefault="00D43FC6" w:rsidP="00D43FC6">
      <w:pPr>
        <w:spacing w:after="120" w:line="240" w:lineRule="auto"/>
        <w:contextualSpacing/>
        <w:jc w:val="both"/>
        <w:rPr>
          <w:rFonts w:ascii="Bookman Old Style" w:eastAsia="Times New Roman" w:hAnsi="Bookman Old Style" w:cs="Arial"/>
          <w:bCs/>
          <w:i/>
          <w:sz w:val="24"/>
          <w:szCs w:val="24"/>
          <w:lang w:eastAsia="it-IT"/>
        </w:rPr>
      </w:pPr>
      <w:r w:rsidRPr="00D43FC6">
        <w:rPr>
          <w:rFonts w:ascii="Bookman Old Style" w:eastAsia="Times New Roman" w:hAnsi="Bookman Old Style" w:cs="Times New Roman"/>
          <w:bCs/>
          <w:sz w:val="24"/>
          <w:szCs w:val="24"/>
        </w:rPr>
        <w:t>Pertanto, si ritiene che, anche a seguito dell’entrata in vigore dell’articolo 40 comma 2,</w:t>
      </w:r>
      <w:r w:rsidR="00EA2713">
        <w:rPr>
          <w:rFonts w:ascii="Bookman Old Style" w:eastAsia="Times New Roman" w:hAnsi="Bookman Old Style" w:cs="Times New Roman"/>
          <w:bCs/>
          <w:sz w:val="24"/>
          <w:szCs w:val="24"/>
        </w:rPr>
        <w:t xml:space="preserve"> </w:t>
      </w:r>
      <w:r w:rsidRPr="00D43FC6">
        <w:rPr>
          <w:rFonts w:ascii="Bookman Old Style" w:eastAsia="Times New Roman" w:hAnsi="Bookman Old Style" w:cs="Times New Roman"/>
          <w:bCs/>
          <w:sz w:val="24"/>
          <w:szCs w:val="24"/>
        </w:rPr>
        <w:t xml:space="preserve">le stazioni appaltanti, </w:t>
      </w:r>
      <w:r w:rsidRPr="00D43FC6">
        <w:rPr>
          <w:rFonts w:ascii="Bookman Old Style" w:eastAsia="Times New Roman" w:hAnsi="Bookman Old Style" w:cs="Times New Roman"/>
          <w:b/>
          <w:bCs/>
          <w:sz w:val="24"/>
          <w:szCs w:val="24"/>
        </w:rPr>
        <w:t>senza ricorrere alla gestione integrale della gara su piattaforma informatica</w:t>
      </w:r>
      <w:r w:rsidRPr="00D43FC6">
        <w:rPr>
          <w:rFonts w:ascii="Bookman Old Style" w:eastAsia="Times New Roman" w:hAnsi="Bookman Old Style" w:cs="Times New Roman"/>
          <w:bCs/>
          <w:sz w:val="24"/>
          <w:szCs w:val="24"/>
        </w:rPr>
        <w:t xml:space="preserve">, possano utilizzare sistemi informatici specifici che si limitino alla ricezione e trasmissione della documentazione e informazioni di gara, incluse le domande di partecipazione e il DGUE, </w:t>
      </w:r>
      <w:r w:rsidRPr="00D43FC6">
        <w:rPr>
          <w:rFonts w:ascii="Bookman Old Style" w:eastAsia="Calibri" w:hAnsi="Bookman Old Style" w:cs="Times New Roman"/>
          <w:color w:val="222222"/>
          <w:sz w:val="24"/>
          <w:szCs w:val="24"/>
          <w:shd w:val="clear" w:color="auto" w:fill="FFFFFF"/>
        </w:rPr>
        <w:t xml:space="preserve">previsti dal Codice dei contratti e in conformità con quanto disposto dal CAD (es. </w:t>
      </w:r>
      <w:r w:rsidRPr="00D43FC6">
        <w:rPr>
          <w:rFonts w:ascii="Bookman Old Style" w:eastAsia="Times New Roman" w:hAnsi="Bookman Old Style" w:cs="Arial"/>
          <w:bCs/>
          <w:i/>
          <w:sz w:val="24"/>
          <w:szCs w:val="24"/>
          <w:lang w:eastAsia="it-IT"/>
        </w:rPr>
        <w:t>e-</w:t>
      </w:r>
      <w:proofErr w:type="spellStart"/>
      <w:r w:rsidRPr="00D43FC6">
        <w:rPr>
          <w:rFonts w:ascii="Bookman Old Style" w:eastAsia="Times New Roman" w:hAnsi="Bookman Old Style" w:cs="Arial"/>
          <w:bCs/>
          <w:i/>
          <w:sz w:val="24"/>
          <w:szCs w:val="24"/>
          <w:lang w:eastAsia="it-IT"/>
        </w:rPr>
        <w:t>notification</w:t>
      </w:r>
      <w:proofErr w:type="spellEnd"/>
      <w:r w:rsidRPr="00D43FC6">
        <w:rPr>
          <w:rFonts w:ascii="Bookman Old Style" w:eastAsia="Times New Roman" w:hAnsi="Bookman Old Style" w:cs="Arial"/>
          <w:bCs/>
          <w:i/>
          <w:sz w:val="24"/>
          <w:szCs w:val="24"/>
          <w:lang w:eastAsia="it-IT"/>
        </w:rPr>
        <w:t>: pubblicazione elettronica dei bandi di gara; e-</w:t>
      </w:r>
      <w:proofErr w:type="spellStart"/>
      <w:r w:rsidRPr="00D43FC6">
        <w:rPr>
          <w:rFonts w:ascii="Bookman Old Style" w:eastAsia="Times New Roman" w:hAnsi="Bookman Old Style" w:cs="Arial"/>
          <w:bCs/>
          <w:i/>
          <w:sz w:val="24"/>
          <w:szCs w:val="24"/>
          <w:lang w:eastAsia="it-IT"/>
        </w:rPr>
        <w:t>access</w:t>
      </w:r>
      <w:proofErr w:type="spellEnd"/>
      <w:r w:rsidRPr="00D43FC6">
        <w:rPr>
          <w:rFonts w:ascii="Bookman Old Style" w:eastAsia="Times New Roman" w:hAnsi="Bookman Old Style" w:cs="Arial"/>
          <w:bCs/>
          <w:i/>
          <w:sz w:val="24"/>
          <w:szCs w:val="24"/>
          <w:lang w:eastAsia="it-IT"/>
        </w:rPr>
        <w:t>: accesso elettronico ai documenti di gara; e-</w:t>
      </w:r>
      <w:proofErr w:type="spellStart"/>
      <w:r w:rsidRPr="00D43FC6">
        <w:rPr>
          <w:rFonts w:ascii="Bookman Old Style" w:eastAsia="Times New Roman" w:hAnsi="Bookman Old Style" w:cs="Arial"/>
          <w:bCs/>
          <w:i/>
          <w:sz w:val="24"/>
          <w:szCs w:val="24"/>
          <w:lang w:eastAsia="it-IT"/>
        </w:rPr>
        <w:t>submission</w:t>
      </w:r>
      <w:proofErr w:type="spellEnd"/>
      <w:r w:rsidRPr="00D43FC6">
        <w:rPr>
          <w:rFonts w:ascii="Bookman Old Style" w:eastAsia="Times New Roman" w:hAnsi="Bookman Old Style" w:cs="Arial"/>
          <w:bCs/>
          <w:i/>
          <w:sz w:val="24"/>
          <w:szCs w:val="24"/>
          <w:lang w:eastAsia="it-IT"/>
        </w:rPr>
        <w:t xml:space="preserve">: </w:t>
      </w:r>
      <w:r w:rsidRPr="001537F8">
        <w:rPr>
          <w:rFonts w:ascii="Bookman Old Style" w:eastAsia="Times New Roman" w:hAnsi="Bookman Old Style" w:cs="Arial"/>
          <w:bCs/>
          <w:i/>
          <w:sz w:val="24"/>
          <w:szCs w:val="24"/>
          <w:lang w:eastAsia="it-IT"/>
        </w:rPr>
        <w:t>presentazione elettronica delle offert</w:t>
      </w:r>
      <w:r w:rsidR="009E7CC0" w:rsidRPr="001537F8">
        <w:rPr>
          <w:rFonts w:ascii="Bookman Old Style" w:eastAsia="Times New Roman" w:hAnsi="Bookman Old Style" w:cs="Arial"/>
          <w:bCs/>
          <w:i/>
          <w:sz w:val="24"/>
          <w:szCs w:val="24"/>
          <w:lang w:eastAsia="it-IT"/>
        </w:rPr>
        <w:t>e</w:t>
      </w:r>
      <w:r w:rsidRPr="001537F8">
        <w:rPr>
          <w:rFonts w:ascii="Bookman Old Style" w:eastAsia="Times New Roman" w:hAnsi="Bookman Old Style" w:cs="Arial"/>
          <w:bCs/>
          <w:i/>
          <w:sz w:val="24"/>
          <w:szCs w:val="24"/>
          <w:lang w:eastAsia="it-IT"/>
        </w:rPr>
        <w:t>;</w:t>
      </w:r>
      <w:r w:rsidRPr="00D43FC6">
        <w:rPr>
          <w:rFonts w:ascii="Bookman Old Style" w:eastAsia="Times New Roman" w:hAnsi="Bookman Old Style" w:cs="Arial"/>
          <w:bCs/>
          <w:i/>
          <w:sz w:val="24"/>
          <w:szCs w:val="24"/>
          <w:lang w:eastAsia="it-IT"/>
        </w:rPr>
        <w:t xml:space="preserve"> e-</w:t>
      </w:r>
      <w:proofErr w:type="spellStart"/>
      <w:r w:rsidRPr="00D43FC6">
        <w:rPr>
          <w:rFonts w:ascii="Bookman Old Style" w:eastAsia="Times New Roman" w:hAnsi="Bookman Old Style" w:cs="Arial"/>
          <w:bCs/>
          <w:i/>
          <w:sz w:val="24"/>
          <w:szCs w:val="24"/>
          <w:lang w:eastAsia="it-IT"/>
        </w:rPr>
        <w:t>Certis</w:t>
      </w:r>
      <w:proofErr w:type="spellEnd"/>
      <w:r w:rsidRPr="00D43FC6">
        <w:rPr>
          <w:rFonts w:ascii="Bookman Old Style" w:eastAsia="Times New Roman" w:hAnsi="Bookman Old Style" w:cs="Arial"/>
          <w:bCs/>
          <w:i/>
          <w:sz w:val="24"/>
          <w:szCs w:val="24"/>
          <w:lang w:eastAsia="it-IT"/>
        </w:rPr>
        <w:t xml:space="preserve"> sistema informatico che consente di individuare i certificati e gli attestati più frequentemente richi</w:t>
      </w:r>
      <w:r w:rsidR="00EA2713">
        <w:rPr>
          <w:rFonts w:ascii="Bookman Old Style" w:eastAsia="Times New Roman" w:hAnsi="Bookman Old Style" w:cs="Arial"/>
          <w:bCs/>
          <w:i/>
          <w:sz w:val="24"/>
          <w:szCs w:val="24"/>
          <w:lang w:eastAsia="it-IT"/>
        </w:rPr>
        <w:t>esti nelle procedure d'appalto).</w:t>
      </w:r>
    </w:p>
    <w:p w:rsidR="00D43FC6" w:rsidRPr="00D43FC6" w:rsidRDefault="00D43FC6" w:rsidP="00D43FC6">
      <w:pPr>
        <w:spacing w:after="120" w:line="240" w:lineRule="auto"/>
        <w:contextualSpacing/>
        <w:jc w:val="both"/>
        <w:rPr>
          <w:rFonts w:ascii="Bookman Old Style" w:eastAsia="Calibri" w:hAnsi="Bookman Old Style" w:cs="Times New Roman"/>
          <w:color w:val="222222"/>
          <w:sz w:val="24"/>
          <w:szCs w:val="24"/>
          <w:shd w:val="clear" w:color="auto" w:fill="FFFFFF"/>
        </w:rPr>
      </w:pPr>
    </w:p>
    <w:p w:rsidR="00D43FC6" w:rsidRPr="00D43FC6" w:rsidRDefault="00D43FC6" w:rsidP="00D43FC6">
      <w:pPr>
        <w:numPr>
          <w:ilvl w:val="0"/>
          <w:numId w:val="2"/>
        </w:numPr>
        <w:spacing w:after="120" w:line="240" w:lineRule="auto"/>
        <w:contextualSpacing/>
        <w:jc w:val="both"/>
        <w:rPr>
          <w:rFonts w:ascii="Bookman Old Style" w:eastAsia="Times New Roman" w:hAnsi="Bookman Old Style" w:cs="Arial"/>
          <w:b/>
          <w:bCs/>
          <w:i/>
          <w:sz w:val="24"/>
          <w:szCs w:val="24"/>
          <w:lang w:eastAsia="it-IT"/>
        </w:rPr>
      </w:pPr>
      <w:r w:rsidRPr="00D43FC6">
        <w:rPr>
          <w:rFonts w:ascii="Bookman Old Style" w:eastAsia="Times New Roman" w:hAnsi="Bookman Old Style" w:cs="Arial"/>
          <w:b/>
          <w:bCs/>
          <w:i/>
          <w:sz w:val="24"/>
          <w:szCs w:val="24"/>
          <w:lang w:eastAsia="it-IT"/>
        </w:rPr>
        <w:t>Altre modalità operative in deroga e nelle more delle linee guida in materia di digitalizzazione delle procedure</w:t>
      </w:r>
    </w:p>
    <w:p w:rsidR="00C22372" w:rsidRDefault="00C22372" w:rsidP="00D43FC6">
      <w:pPr>
        <w:spacing w:after="120" w:line="240" w:lineRule="auto"/>
        <w:jc w:val="both"/>
        <w:rPr>
          <w:rFonts w:ascii="Bookman Old Style" w:eastAsia="Calibri" w:hAnsi="Bookman Old Style" w:cs="Arial"/>
          <w:color w:val="222222"/>
          <w:sz w:val="24"/>
          <w:szCs w:val="24"/>
          <w:shd w:val="clear" w:color="auto" w:fill="FFFFFF"/>
          <w:lang w:eastAsia="it-IT"/>
        </w:rPr>
      </w:pPr>
    </w:p>
    <w:p w:rsidR="008478EC" w:rsidRDefault="00D43FC6" w:rsidP="00D43FC6">
      <w:pPr>
        <w:spacing w:after="120" w:line="240" w:lineRule="auto"/>
        <w:jc w:val="both"/>
        <w:rPr>
          <w:rFonts w:ascii="Bookman Old Style" w:eastAsia="Calibri" w:hAnsi="Bookman Old Style" w:cs="Arial"/>
          <w:color w:val="222222"/>
          <w:sz w:val="24"/>
          <w:szCs w:val="24"/>
          <w:shd w:val="clear" w:color="auto" w:fill="FFFFFF"/>
          <w:lang w:eastAsia="it-IT"/>
        </w:rPr>
      </w:pPr>
      <w:r w:rsidRPr="00D43FC6">
        <w:rPr>
          <w:rFonts w:ascii="Bookman Old Style" w:eastAsia="Calibri" w:hAnsi="Bookman Old Style" w:cs="Arial"/>
          <w:color w:val="222222"/>
          <w:sz w:val="24"/>
          <w:szCs w:val="24"/>
          <w:shd w:val="clear" w:color="auto" w:fill="FFFFFF"/>
          <w:lang w:eastAsia="it-IT"/>
        </w:rPr>
        <w:t xml:space="preserve">Si ritiene infine che, in assenza di una piattaforma di </w:t>
      </w:r>
      <w:r w:rsidRPr="00D43FC6">
        <w:rPr>
          <w:rFonts w:ascii="Bookman Old Style" w:eastAsia="Calibri" w:hAnsi="Bookman Old Style" w:cs="Arial"/>
          <w:i/>
          <w:color w:val="222222"/>
          <w:sz w:val="24"/>
          <w:szCs w:val="24"/>
          <w:shd w:val="clear" w:color="auto" w:fill="FFFFFF"/>
          <w:lang w:eastAsia="it-IT"/>
        </w:rPr>
        <w:t xml:space="preserve">e-procurement </w:t>
      </w:r>
      <w:r w:rsidRPr="00D43FC6">
        <w:rPr>
          <w:rFonts w:ascii="Bookman Old Style" w:eastAsia="Calibri" w:hAnsi="Bookman Old Style" w:cs="Arial"/>
          <w:color w:val="222222"/>
          <w:sz w:val="24"/>
          <w:szCs w:val="24"/>
          <w:shd w:val="clear" w:color="auto" w:fill="FFFFFF"/>
          <w:lang w:eastAsia="it-IT"/>
        </w:rPr>
        <w:t xml:space="preserve"> (propria o convenzionata di cui al precedente punto 2</w:t>
      </w:r>
      <w:r w:rsidR="00EA2713">
        <w:rPr>
          <w:rFonts w:ascii="Bookman Old Style" w:eastAsia="Calibri" w:hAnsi="Bookman Old Style" w:cs="Arial"/>
          <w:color w:val="222222"/>
          <w:sz w:val="24"/>
          <w:szCs w:val="24"/>
          <w:shd w:val="clear" w:color="auto" w:fill="FFFFFF"/>
          <w:lang w:eastAsia="it-IT"/>
        </w:rPr>
        <w:t>, o di soggetti aggregatori)</w:t>
      </w:r>
      <w:r w:rsidRPr="00D43FC6">
        <w:rPr>
          <w:rFonts w:ascii="Bookman Old Style" w:eastAsia="Calibri" w:hAnsi="Bookman Old Style" w:cs="Arial"/>
          <w:color w:val="222222"/>
          <w:sz w:val="24"/>
          <w:szCs w:val="24"/>
          <w:shd w:val="clear" w:color="auto" w:fill="FFFFFF"/>
          <w:lang w:eastAsia="it-IT"/>
        </w:rPr>
        <w:t>,  o</w:t>
      </w:r>
      <w:r w:rsidR="00EA2713">
        <w:rPr>
          <w:rFonts w:ascii="Bookman Old Style" w:eastAsia="Calibri" w:hAnsi="Bookman Old Style" w:cs="Arial"/>
          <w:color w:val="222222"/>
          <w:sz w:val="24"/>
          <w:szCs w:val="24"/>
          <w:shd w:val="clear" w:color="auto" w:fill="FFFFFF"/>
          <w:lang w:eastAsia="it-IT"/>
        </w:rPr>
        <w:t>vvero</w:t>
      </w:r>
      <w:r w:rsidRPr="00D43FC6">
        <w:rPr>
          <w:rFonts w:ascii="Bookman Old Style" w:eastAsia="Calibri" w:hAnsi="Bookman Old Style" w:cs="Arial"/>
          <w:color w:val="222222"/>
          <w:sz w:val="24"/>
          <w:szCs w:val="24"/>
          <w:shd w:val="clear" w:color="auto" w:fill="FFFFFF"/>
          <w:lang w:eastAsia="it-IT"/>
        </w:rPr>
        <w:t xml:space="preserve"> di un sistema informatico di trasmissione e gestione </w:t>
      </w:r>
      <w:r w:rsidR="008478EC">
        <w:rPr>
          <w:rFonts w:ascii="Bookman Old Style" w:eastAsia="Calibri" w:hAnsi="Bookman Old Style" w:cs="Arial"/>
          <w:color w:val="222222"/>
          <w:sz w:val="24"/>
          <w:szCs w:val="24"/>
          <w:shd w:val="clear" w:color="auto" w:fill="FFFFFF"/>
          <w:lang w:eastAsia="it-IT"/>
        </w:rPr>
        <w:t>della documentazione di gara, le stazioni appaltanti</w:t>
      </w:r>
      <w:r w:rsidRPr="00D43FC6">
        <w:rPr>
          <w:rFonts w:ascii="Bookman Old Style" w:eastAsia="Calibri" w:hAnsi="Bookman Old Style" w:cs="Arial"/>
          <w:color w:val="222222"/>
          <w:sz w:val="24"/>
          <w:szCs w:val="24"/>
          <w:shd w:val="clear" w:color="auto" w:fill="FFFFFF"/>
          <w:lang w:eastAsia="it-IT"/>
        </w:rPr>
        <w:t xml:space="preserve"> possa</w:t>
      </w:r>
      <w:r w:rsidR="008478EC">
        <w:rPr>
          <w:rFonts w:ascii="Bookman Old Style" w:eastAsia="Calibri" w:hAnsi="Bookman Old Style" w:cs="Arial"/>
          <w:color w:val="222222"/>
          <w:sz w:val="24"/>
          <w:szCs w:val="24"/>
          <w:shd w:val="clear" w:color="auto" w:fill="FFFFFF"/>
          <w:lang w:eastAsia="it-IT"/>
        </w:rPr>
        <w:t>no</w:t>
      </w:r>
      <w:r w:rsidRPr="00D43FC6">
        <w:rPr>
          <w:rFonts w:ascii="Bookman Old Style" w:eastAsia="Calibri" w:hAnsi="Bookman Old Style" w:cs="Arial"/>
          <w:color w:val="222222"/>
          <w:sz w:val="24"/>
          <w:szCs w:val="24"/>
          <w:shd w:val="clear" w:color="auto" w:fill="FFFFFF"/>
          <w:lang w:eastAsia="it-IT"/>
        </w:rPr>
        <w:t xml:space="preserve"> ancora ricorrere a soluzioni alternative, quantomeno in attesa della piena implementazione degli strumenti telematici sicuri.</w:t>
      </w:r>
    </w:p>
    <w:p w:rsidR="00D43FC6" w:rsidRPr="009D4788" w:rsidRDefault="008478EC" w:rsidP="00D43FC6">
      <w:pPr>
        <w:spacing w:after="120" w:line="240" w:lineRule="auto"/>
        <w:jc w:val="both"/>
        <w:rPr>
          <w:rFonts w:ascii="Bookman Old Style" w:eastAsia="Calibri" w:hAnsi="Bookman Old Style" w:cs="Arial"/>
          <w:color w:val="FF0000"/>
          <w:sz w:val="24"/>
          <w:szCs w:val="24"/>
          <w:shd w:val="clear" w:color="auto" w:fill="FFFFFF"/>
          <w:lang w:eastAsia="it-IT"/>
        </w:rPr>
      </w:pPr>
      <w:r w:rsidRPr="009D4788">
        <w:rPr>
          <w:rFonts w:ascii="Bookman Old Style" w:eastAsia="Calibri" w:hAnsi="Bookman Old Style" w:cs="Arial"/>
          <w:color w:val="FF0000"/>
          <w:sz w:val="24"/>
          <w:szCs w:val="24"/>
          <w:highlight w:val="yellow"/>
          <w:shd w:val="clear" w:color="auto" w:fill="FFFFFF"/>
          <w:lang w:eastAsia="it-IT"/>
        </w:rPr>
        <w:t xml:space="preserve">Come già ricordato infatti, non risulta adottato il D.M. di cui all’articolo 44 del Codice Appalti, che avrebbe dovuto definire </w:t>
      </w:r>
      <w:r w:rsidRPr="009D4788">
        <w:rPr>
          <w:rFonts w:ascii="Bookman Old Style" w:eastAsia="Calibri" w:hAnsi="Bookman Old Style" w:cs="Arial"/>
          <w:b/>
          <w:i/>
          <w:color w:val="FF0000"/>
          <w:sz w:val="24"/>
          <w:szCs w:val="24"/>
          <w:highlight w:val="yellow"/>
          <w:shd w:val="clear" w:color="auto" w:fill="FFFFFF"/>
          <w:lang w:eastAsia="it-IT"/>
        </w:rPr>
        <w:t>le modalità di digitalizzazione delle procedure di tutti i contratti pubblici</w:t>
      </w:r>
      <w:r w:rsidRPr="009D4788">
        <w:rPr>
          <w:rFonts w:ascii="Bookman Old Style" w:eastAsia="Calibri" w:hAnsi="Bookman Old Style" w:cs="Arial"/>
          <w:color w:val="FF0000"/>
          <w:sz w:val="24"/>
          <w:szCs w:val="24"/>
          <w:highlight w:val="yellow"/>
          <w:shd w:val="clear" w:color="auto" w:fill="FFFFFF"/>
          <w:lang w:eastAsia="it-IT"/>
        </w:rPr>
        <w:t>, anche attraverso l’interconnessione per l’interoperabilità dei dati delle Pubbliche Amministrazioni. Non esiste dunque, nell’attuale quadro ordinamentale della materia, una definizione dello standard da utilizzare per la digitalizzazione delle procedure di gara.</w:t>
      </w:r>
      <w:r w:rsidRPr="009D4788">
        <w:rPr>
          <w:rFonts w:ascii="Bookman Old Style" w:eastAsia="Calibri" w:hAnsi="Bookman Old Style" w:cs="Arial"/>
          <w:color w:val="FF0000"/>
          <w:sz w:val="24"/>
          <w:szCs w:val="24"/>
          <w:shd w:val="clear" w:color="auto" w:fill="FFFFFF"/>
          <w:lang w:eastAsia="it-IT"/>
        </w:rPr>
        <w:t xml:space="preserve"> </w:t>
      </w:r>
    </w:p>
    <w:p w:rsidR="00D43FC6" w:rsidRPr="00D43FC6" w:rsidRDefault="008478EC" w:rsidP="00D43FC6">
      <w:pPr>
        <w:spacing w:after="120" w:line="240" w:lineRule="auto"/>
        <w:jc w:val="both"/>
        <w:rPr>
          <w:rFonts w:ascii="Bookman Old Style" w:eastAsia="Calibri" w:hAnsi="Bookman Old Style" w:cs="Arial"/>
          <w:color w:val="222222"/>
          <w:sz w:val="24"/>
          <w:szCs w:val="24"/>
          <w:shd w:val="clear" w:color="auto" w:fill="FFFFFF"/>
          <w:lang w:eastAsia="it-IT"/>
        </w:rPr>
      </w:pPr>
      <w:r>
        <w:rPr>
          <w:rFonts w:ascii="Bookman Old Style" w:eastAsia="Calibri" w:hAnsi="Bookman Old Style" w:cs="Arial"/>
          <w:color w:val="222222"/>
          <w:sz w:val="24"/>
          <w:szCs w:val="24"/>
          <w:shd w:val="clear" w:color="auto" w:fill="FFFFFF"/>
          <w:lang w:eastAsia="it-IT"/>
        </w:rPr>
        <w:t>Ne</w:t>
      </w:r>
      <w:r w:rsidR="00353C83">
        <w:rPr>
          <w:rFonts w:ascii="Bookman Old Style" w:eastAsia="Calibri" w:hAnsi="Bookman Old Style" w:cs="Arial"/>
          <w:color w:val="222222"/>
          <w:sz w:val="24"/>
          <w:szCs w:val="24"/>
          <w:shd w:val="clear" w:color="auto" w:fill="FFFFFF"/>
          <w:lang w:eastAsia="it-IT"/>
        </w:rPr>
        <w:t xml:space="preserve">lle more dunque del completamento di tale assetto normativo, possono essere utilizzate le deroghe </w:t>
      </w:r>
      <w:r w:rsidR="00D43FC6" w:rsidRPr="00D43FC6">
        <w:rPr>
          <w:rFonts w:ascii="Bookman Old Style" w:eastAsia="Calibri" w:hAnsi="Bookman Old Style" w:cs="Arial"/>
          <w:color w:val="222222"/>
          <w:sz w:val="24"/>
          <w:szCs w:val="24"/>
          <w:shd w:val="clear" w:color="auto" w:fill="FFFFFF"/>
          <w:lang w:eastAsia="it-IT"/>
        </w:rPr>
        <w:t xml:space="preserve">di cui </w:t>
      </w:r>
      <w:r w:rsidR="00353C83" w:rsidRPr="001537F8">
        <w:rPr>
          <w:rFonts w:ascii="Bookman Old Style" w:eastAsia="Calibri" w:hAnsi="Bookman Old Style" w:cs="Arial"/>
          <w:color w:val="222222"/>
          <w:sz w:val="24"/>
          <w:szCs w:val="24"/>
          <w:shd w:val="clear" w:color="auto" w:fill="FFFFFF"/>
          <w:lang w:eastAsia="it-IT"/>
        </w:rPr>
        <w:t>al</w:t>
      </w:r>
      <w:r w:rsidR="001537F8" w:rsidRPr="001537F8">
        <w:rPr>
          <w:rFonts w:ascii="Bookman Old Style" w:eastAsia="Calibri" w:hAnsi="Bookman Old Style" w:cs="Arial"/>
          <w:color w:val="222222"/>
          <w:sz w:val="24"/>
          <w:szCs w:val="24"/>
          <w:shd w:val="clear" w:color="auto" w:fill="FFFFFF"/>
          <w:lang w:eastAsia="it-IT"/>
        </w:rPr>
        <w:t xml:space="preserve"> succitato </w:t>
      </w:r>
      <w:r w:rsidR="00353C83" w:rsidRPr="001537F8">
        <w:rPr>
          <w:rFonts w:ascii="Bookman Old Style" w:eastAsia="Calibri" w:hAnsi="Bookman Old Style" w:cs="Arial"/>
          <w:color w:val="222222"/>
          <w:sz w:val="24"/>
          <w:szCs w:val="24"/>
          <w:shd w:val="clear" w:color="auto" w:fill="FFFFFF"/>
          <w:lang w:eastAsia="it-IT"/>
        </w:rPr>
        <w:t xml:space="preserve">articolo 52, in quanto </w:t>
      </w:r>
      <w:r w:rsidR="00353C83" w:rsidRPr="001537F8">
        <w:rPr>
          <w:rFonts w:ascii="Bookman Old Style" w:eastAsia="Calibri" w:hAnsi="Bookman Old Style" w:cs="Arial"/>
          <w:color w:val="222222"/>
          <w:sz w:val="24"/>
          <w:szCs w:val="24"/>
          <w:shd w:val="clear" w:color="auto" w:fill="FFFFFF"/>
          <w:lang w:eastAsia="it-IT"/>
        </w:rPr>
        <w:lastRenderedPageBreak/>
        <w:t xml:space="preserve">costituiscono </w:t>
      </w:r>
      <w:r w:rsidR="00D43FC6" w:rsidRPr="001537F8">
        <w:rPr>
          <w:rFonts w:ascii="Bookman Old Style" w:eastAsia="Calibri" w:hAnsi="Bookman Old Style" w:cs="Arial"/>
          <w:color w:val="222222"/>
          <w:sz w:val="24"/>
          <w:szCs w:val="24"/>
          <w:shd w:val="clear" w:color="auto" w:fill="FFFFFF"/>
          <w:lang w:eastAsia="it-IT"/>
        </w:rPr>
        <w:t xml:space="preserve">eccezioni all’obbligo </w:t>
      </w:r>
      <w:r w:rsidR="00D43FC6" w:rsidRPr="001537F8">
        <w:rPr>
          <w:rFonts w:ascii="Bookman Old Style" w:eastAsia="Calibri" w:hAnsi="Bookman Old Style" w:cs="Arial"/>
          <w:b/>
          <w:bCs/>
          <w:color w:val="222222"/>
          <w:sz w:val="24"/>
          <w:szCs w:val="24"/>
          <w:shd w:val="clear" w:color="auto" w:fill="FFFFFF"/>
          <w:lang w:eastAsia="it-IT"/>
        </w:rPr>
        <w:t xml:space="preserve"> di richiedere mezzi di comunicazione elettronici</w:t>
      </w:r>
      <w:r w:rsidR="00D43FC6" w:rsidRPr="001537F8">
        <w:rPr>
          <w:rFonts w:ascii="Bookman Old Style" w:eastAsia="Calibri" w:hAnsi="Bookman Old Style" w:cs="Arial"/>
          <w:color w:val="222222"/>
          <w:sz w:val="24"/>
          <w:szCs w:val="24"/>
          <w:shd w:val="clear" w:color="auto" w:fill="FFFFFF"/>
          <w:lang w:eastAsia="it-IT"/>
        </w:rPr>
        <w:t>.</w:t>
      </w:r>
    </w:p>
    <w:p w:rsidR="00D43FC6" w:rsidRPr="009D4788" w:rsidRDefault="00D43FC6" w:rsidP="00D43FC6">
      <w:pPr>
        <w:spacing w:after="120" w:line="240" w:lineRule="auto"/>
        <w:jc w:val="both"/>
        <w:rPr>
          <w:rFonts w:ascii="Bookman Old Style" w:eastAsia="Times New Roman" w:hAnsi="Bookman Old Style" w:cs="Arial"/>
          <w:bCs/>
          <w:color w:val="FF0000"/>
          <w:sz w:val="24"/>
          <w:szCs w:val="24"/>
          <w:lang w:eastAsia="it-IT"/>
        </w:rPr>
      </w:pPr>
      <w:r w:rsidRPr="009D4788">
        <w:rPr>
          <w:rFonts w:ascii="Bookman Old Style" w:eastAsia="Times New Roman" w:hAnsi="Bookman Old Style" w:cs="Arial"/>
          <w:bCs/>
          <w:color w:val="FF0000"/>
          <w:sz w:val="24"/>
          <w:szCs w:val="24"/>
          <w:highlight w:val="yellow"/>
          <w:lang w:eastAsia="it-IT"/>
        </w:rPr>
        <w:t>In particolare,</w:t>
      </w:r>
      <w:r w:rsidRPr="009D4788">
        <w:rPr>
          <w:rFonts w:ascii="Bookman Old Style" w:eastAsia="Calibri" w:hAnsi="Bookman Old Style" w:cs="Arial"/>
          <w:color w:val="FF0000"/>
          <w:sz w:val="24"/>
          <w:szCs w:val="24"/>
          <w:highlight w:val="yellow"/>
          <w:shd w:val="clear" w:color="auto" w:fill="FFFFFF"/>
          <w:lang w:eastAsia="it-IT"/>
        </w:rPr>
        <w:t xml:space="preserve"> </w:t>
      </w:r>
      <w:r w:rsidRPr="009D4788">
        <w:rPr>
          <w:rFonts w:ascii="Bookman Old Style" w:eastAsia="Times New Roman" w:hAnsi="Bookman Old Style" w:cs="Arial"/>
          <w:bCs/>
          <w:color w:val="FF0000"/>
          <w:sz w:val="24"/>
          <w:szCs w:val="24"/>
          <w:highlight w:val="yellow"/>
          <w:lang w:eastAsia="it-IT"/>
        </w:rPr>
        <w:t xml:space="preserve">l’art. 52, </w:t>
      </w:r>
      <w:r w:rsidRPr="009D4788">
        <w:rPr>
          <w:rFonts w:ascii="Bookman Old Style" w:eastAsia="Calibri" w:hAnsi="Bookman Old Style" w:cs="Arial"/>
          <w:b/>
          <w:color w:val="FF0000"/>
          <w:sz w:val="24"/>
          <w:szCs w:val="24"/>
          <w:highlight w:val="yellow"/>
          <w:shd w:val="clear" w:color="auto" w:fill="FFFFFF"/>
          <w:lang w:eastAsia="it-IT"/>
        </w:rPr>
        <w:t xml:space="preserve">con riferimento alla </w:t>
      </w:r>
      <w:r w:rsidR="00353C83" w:rsidRPr="009D4788">
        <w:rPr>
          <w:rFonts w:ascii="Bookman Old Style" w:eastAsia="Calibri" w:hAnsi="Bookman Old Style" w:cs="Arial"/>
          <w:b/>
          <w:color w:val="FF0000"/>
          <w:sz w:val="24"/>
          <w:szCs w:val="24"/>
          <w:highlight w:val="yellow"/>
          <w:shd w:val="clear" w:color="auto" w:fill="FFFFFF"/>
          <w:lang w:eastAsia="it-IT"/>
        </w:rPr>
        <w:t xml:space="preserve">“procedura di </w:t>
      </w:r>
      <w:r w:rsidRPr="009D4788">
        <w:rPr>
          <w:rFonts w:ascii="Bookman Old Style" w:eastAsia="Calibri" w:hAnsi="Bookman Old Style" w:cs="Arial"/>
          <w:b/>
          <w:color w:val="FF0000"/>
          <w:sz w:val="24"/>
          <w:szCs w:val="24"/>
          <w:highlight w:val="yellow"/>
          <w:shd w:val="clear" w:color="auto" w:fill="FFFFFF"/>
          <w:lang w:eastAsia="it-IT"/>
        </w:rPr>
        <w:t>presentazione dell’offerta</w:t>
      </w:r>
      <w:r w:rsidR="00353C83" w:rsidRPr="009D4788">
        <w:rPr>
          <w:rFonts w:ascii="Bookman Old Style" w:eastAsia="Calibri" w:hAnsi="Bookman Old Style" w:cs="Arial"/>
          <w:b/>
          <w:color w:val="FF0000"/>
          <w:sz w:val="24"/>
          <w:szCs w:val="24"/>
          <w:highlight w:val="yellow"/>
          <w:shd w:val="clear" w:color="auto" w:fill="FFFFFF"/>
          <w:lang w:eastAsia="it-IT"/>
        </w:rPr>
        <w:t>”</w:t>
      </w:r>
      <w:r w:rsidRPr="009D4788">
        <w:rPr>
          <w:rFonts w:ascii="Bookman Old Style" w:eastAsia="Calibri" w:hAnsi="Bookman Old Style" w:cs="Arial"/>
          <w:color w:val="FF0000"/>
          <w:sz w:val="24"/>
          <w:szCs w:val="24"/>
          <w:highlight w:val="yellow"/>
          <w:shd w:val="clear" w:color="auto" w:fill="FFFFFF"/>
          <w:lang w:eastAsia="it-IT"/>
        </w:rPr>
        <w:t xml:space="preserve">, </w:t>
      </w:r>
      <w:r w:rsidRPr="009D4788">
        <w:rPr>
          <w:rFonts w:ascii="Bookman Old Style" w:eastAsia="Times New Roman" w:hAnsi="Bookman Old Style" w:cs="Arial"/>
          <w:bCs/>
          <w:color w:val="FF0000"/>
          <w:sz w:val="24"/>
          <w:szCs w:val="24"/>
          <w:highlight w:val="yellow"/>
          <w:lang w:eastAsia="it-IT"/>
        </w:rPr>
        <w:t xml:space="preserve">stabilisce che le amministrazioni possano ancora ricorrere </w:t>
      </w:r>
      <w:r w:rsidRPr="009D4788">
        <w:rPr>
          <w:rFonts w:ascii="Bookman Old Style" w:eastAsia="Times New Roman" w:hAnsi="Bookman Old Style" w:cs="Arial"/>
          <w:b/>
          <w:bCs/>
          <w:color w:val="FF0000"/>
          <w:sz w:val="24"/>
          <w:szCs w:val="24"/>
          <w:highlight w:val="yellow"/>
          <w:lang w:eastAsia="it-IT"/>
        </w:rPr>
        <w:t>all’uso di mezzi di comunicazione diversi da quelli elettronici (</w:t>
      </w:r>
      <w:r w:rsidR="00353C83" w:rsidRPr="009D4788">
        <w:rPr>
          <w:rFonts w:ascii="Bookman Old Style" w:eastAsia="Times New Roman" w:hAnsi="Bookman Old Style" w:cs="Arial"/>
          <w:b/>
          <w:bCs/>
          <w:color w:val="FF0000"/>
          <w:sz w:val="24"/>
          <w:szCs w:val="24"/>
          <w:highlight w:val="yellow"/>
          <w:lang w:eastAsia="it-IT"/>
        </w:rPr>
        <w:t>quindi quelli</w:t>
      </w:r>
      <w:r w:rsidR="00353C83" w:rsidRPr="009D4788">
        <w:rPr>
          <w:rFonts w:ascii="Bookman Old Style" w:eastAsia="Times New Roman" w:hAnsi="Bookman Old Style" w:cs="Arial"/>
          <w:b/>
          <w:bCs/>
          <w:i/>
          <w:color w:val="FF0000"/>
          <w:sz w:val="24"/>
          <w:szCs w:val="24"/>
          <w:highlight w:val="yellow"/>
          <w:lang w:eastAsia="it-IT"/>
        </w:rPr>
        <w:t xml:space="preserve"> </w:t>
      </w:r>
      <w:r w:rsidRPr="009D4788">
        <w:rPr>
          <w:rFonts w:ascii="Bookman Old Style" w:eastAsia="Times New Roman" w:hAnsi="Bookman Old Style" w:cs="Arial"/>
          <w:b/>
          <w:bCs/>
          <w:color w:val="FF0000"/>
          <w:sz w:val="24"/>
          <w:szCs w:val="24"/>
          <w:highlight w:val="yellow"/>
          <w:lang w:eastAsia="it-IT"/>
        </w:rPr>
        <w:t xml:space="preserve">tradizionali) </w:t>
      </w:r>
      <w:r w:rsidRPr="009D4788">
        <w:rPr>
          <w:rFonts w:ascii="Bookman Old Style" w:eastAsia="Times New Roman" w:hAnsi="Bookman Old Style" w:cs="Arial"/>
          <w:bCs/>
          <w:color w:val="FF0000"/>
          <w:sz w:val="24"/>
          <w:szCs w:val="24"/>
          <w:highlight w:val="yellow"/>
          <w:lang w:eastAsia="it-IT"/>
        </w:rPr>
        <w:t>quando ciò si renda necessario, tra l’altro, per assicurare la sicurezza e la protezione di informazioni di natura particolarmente sensibile (articolo 52, comma 1, lett. e).</w:t>
      </w:r>
      <w:bookmarkStart w:id="0" w:name="_GoBack"/>
      <w:bookmarkEnd w:id="0"/>
    </w:p>
    <w:p w:rsidR="00D43FC6" w:rsidRPr="00D43FC6" w:rsidRDefault="00E25EC3" w:rsidP="00D43FC6">
      <w:pPr>
        <w:spacing w:after="120" w:line="240" w:lineRule="auto"/>
        <w:jc w:val="both"/>
        <w:rPr>
          <w:rFonts w:ascii="Bookman Old Style" w:eastAsia="Times New Roman" w:hAnsi="Bookman Old Style" w:cs="Arial"/>
          <w:bCs/>
          <w:sz w:val="24"/>
          <w:szCs w:val="24"/>
          <w:lang w:eastAsia="it-IT"/>
        </w:rPr>
      </w:pPr>
      <w:r>
        <w:rPr>
          <w:rFonts w:ascii="Bookman Old Style" w:eastAsia="Times New Roman" w:hAnsi="Bookman Old Style" w:cs="Arial"/>
          <w:bCs/>
          <w:sz w:val="24"/>
          <w:szCs w:val="24"/>
          <w:lang w:eastAsia="it-IT"/>
        </w:rPr>
        <w:t>I</w:t>
      </w:r>
      <w:r w:rsidRPr="008552F1">
        <w:rPr>
          <w:rFonts w:ascii="Bookman Old Style" w:eastAsia="Times New Roman" w:hAnsi="Bookman Old Style" w:cs="Arial"/>
          <w:bCs/>
          <w:sz w:val="24"/>
          <w:szCs w:val="24"/>
          <w:lang w:eastAsia="it-IT"/>
        </w:rPr>
        <w:t xml:space="preserve">l comma 5 dell’articolo 52, </w:t>
      </w:r>
      <w:r w:rsidR="008552F1">
        <w:rPr>
          <w:rFonts w:ascii="Bookman Old Style" w:eastAsia="Times New Roman" w:hAnsi="Bookman Old Style" w:cs="Arial"/>
          <w:bCs/>
          <w:sz w:val="24"/>
          <w:szCs w:val="24"/>
          <w:lang w:eastAsia="it-IT"/>
        </w:rPr>
        <w:t xml:space="preserve">chiarisce </w:t>
      </w:r>
      <w:r w:rsidRPr="008552F1">
        <w:rPr>
          <w:rFonts w:ascii="Bookman Old Style" w:eastAsia="Times New Roman" w:hAnsi="Bookman Old Style" w:cs="Arial"/>
          <w:bCs/>
          <w:sz w:val="24"/>
          <w:szCs w:val="24"/>
          <w:lang w:eastAsia="it-IT"/>
        </w:rPr>
        <w:t xml:space="preserve">che </w:t>
      </w:r>
      <w:r w:rsidRPr="008552F1">
        <w:rPr>
          <w:rFonts w:ascii="Bookman Old Style" w:eastAsia="Times New Roman" w:hAnsi="Bookman Old Style" w:cs="Arial"/>
          <w:b/>
          <w:bCs/>
          <w:sz w:val="24"/>
          <w:szCs w:val="24"/>
          <w:lang w:eastAsia="it-IT"/>
        </w:rPr>
        <w:t>non può intendersi come comunicazione per la fase di presentazione delle offerte, l’invio mediante posta elettronica certificata,</w:t>
      </w:r>
      <w:r w:rsidRPr="008552F1">
        <w:rPr>
          <w:rFonts w:ascii="Bookman Old Style" w:eastAsia="Times New Roman" w:hAnsi="Bookman Old Style" w:cs="Arial"/>
          <w:bCs/>
          <w:sz w:val="24"/>
          <w:szCs w:val="24"/>
          <w:lang w:eastAsia="it-IT"/>
        </w:rPr>
        <w:t xml:space="preserve">  perché se è vero che la PEC (come idoneo strumento telematico di comunicazione e strumento di scambio di informazioni), garantisce l’integrità dei dati, di certo non può garantire la riservatezza e l’apertura del contenuto soltanto dopo il termine di presentazione delle offerte.  </w:t>
      </w:r>
    </w:p>
    <w:p w:rsidR="00D43FC6" w:rsidRPr="00D43FC6" w:rsidRDefault="00D43FC6" w:rsidP="00D43FC6">
      <w:pPr>
        <w:spacing w:after="120" w:line="240" w:lineRule="auto"/>
        <w:jc w:val="both"/>
        <w:rPr>
          <w:rFonts w:ascii="Bookman Old Style" w:eastAsia="Times New Roman" w:hAnsi="Bookman Old Style" w:cs="Arial"/>
          <w:bCs/>
          <w:sz w:val="24"/>
          <w:szCs w:val="24"/>
          <w:lang w:eastAsia="it-IT"/>
        </w:rPr>
      </w:pPr>
      <w:r w:rsidRPr="00D43FC6">
        <w:rPr>
          <w:rFonts w:ascii="Bookman Old Style" w:eastAsia="Times New Roman" w:hAnsi="Bookman Old Style" w:cs="Arial"/>
          <w:bCs/>
          <w:sz w:val="24"/>
          <w:szCs w:val="24"/>
          <w:lang w:eastAsia="it-IT"/>
        </w:rPr>
        <w:t>Pertanto, può ragionevolmente affermarsi che, anche dopo il 18 ottobre</w:t>
      </w:r>
      <w:r w:rsidR="000F1478">
        <w:rPr>
          <w:rFonts w:ascii="Bookman Old Style" w:eastAsia="Times New Roman" w:hAnsi="Bookman Old Style" w:cs="Arial"/>
          <w:bCs/>
          <w:sz w:val="24"/>
          <w:szCs w:val="24"/>
          <w:lang w:eastAsia="it-IT"/>
        </w:rPr>
        <w:t xml:space="preserve"> u.s.</w:t>
      </w:r>
      <w:r w:rsidRPr="00D43FC6">
        <w:rPr>
          <w:rFonts w:ascii="Bookman Old Style" w:eastAsia="Times New Roman" w:hAnsi="Bookman Old Style" w:cs="Arial"/>
          <w:bCs/>
          <w:sz w:val="24"/>
          <w:szCs w:val="24"/>
          <w:lang w:eastAsia="it-IT"/>
        </w:rPr>
        <w:t xml:space="preserve">, resti </w:t>
      </w:r>
      <w:r w:rsidRPr="00D43FC6">
        <w:rPr>
          <w:rFonts w:ascii="Bookman Old Style" w:eastAsia="Times New Roman" w:hAnsi="Bookman Old Style" w:cs="Arial"/>
          <w:b/>
          <w:bCs/>
          <w:sz w:val="24"/>
          <w:szCs w:val="24"/>
          <w:lang w:eastAsia="it-IT"/>
        </w:rPr>
        <w:t xml:space="preserve">comunque possibile, per la presentazione </w:t>
      </w:r>
      <w:r w:rsidR="000F1478">
        <w:rPr>
          <w:rFonts w:ascii="Bookman Old Style" w:eastAsia="Times New Roman" w:hAnsi="Bookman Old Style" w:cs="Arial"/>
          <w:b/>
          <w:bCs/>
          <w:sz w:val="24"/>
          <w:szCs w:val="24"/>
          <w:lang w:eastAsia="it-IT"/>
        </w:rPr>
        <w:t>dell’</w:t>
      </w:r>
      <w:r w:rsidRPr="00D43FC6">
        <w:rPr>
          <w:rFonts w:ascii="Bookman Old Style" w:eastAsia="Times New Roman" w:hAnsi="Bookman Old Style" w:cs="Arial"/>
          <w:b/>
          <w:bCs/>
          <w:sz w:val="24"/>
          <w:szCs w:val="24"/>
          <w:lang w:eastAsia="it-IT"/>
        </w:rPr>
        <w:t>offerta, la possibilità di ricorrere a modalità alternative a quelle elettroniche</w:t>
      </w:r>
      <w:r w:rsidRPr="00D43FC6">
        <w:rPr>
          <w:rFonts w:ascii="Bookman Old Style" w:eastAsia="Times New Roman" w:hAnsi="Bookman Old Style" w:cs="Arial"/>
          <w:bCs/>
          <w:sz w:val="24"/>
          <w:szCs w:val="24"/>
          <w:lang w:eastAsia="it-IT"/>
        </w:rPr>
        <w:t xml:space="preserve">, purché siano le uniche in grado di assicurare </w:t>
      </w:r>
      <w:r w:rsidRPr="00D43FC6">
        <w:rPr>
          <w:rFonts w:ascii="Bookman Old Style" w:eastAsia="Times New Roman" w:hAnsi="Bookman Old Style" w:cs="Arial"/>
          <w:b/>
          <w:bCs/>
          <w:sz w:val="24"/>
          <w:szCs w:val="24"/>
          <w:lang w:eastAsia="it-IT"/>
        </w:rPr>
        <w:t xml:space="preserve">l’integrità dei dati e </w:t>
      </w:r>
      <w:r w:rsidR="001A5386">
        <w:rPr>
          <w:rFonts w:ascii="Bookman Old Style" w:eastAsia="Times New Roman" w:hAnsi="Bookman Old Style" w:cs="Arial"/>
          <w:b/>
          <w:bCs/>
          <w:sz w:val="24"/>
          <w:szCs w:val="24"/>
          <w:lang w:eastAsia="it-IT"/>
        </w:rPr>
        <w:t>la riservatezza delle offerte (</w:t>
      </w:r>
      <w:r w:rsidRPr="00D43FC6">
        <w:rPr>
          <w:rFonts w:ascii="Bookman Old Style" w:eastAsia="Times New Roman" w:hAnsi="Bookman Old Style" w:cs="Arial"/>
          <w:b/>
          <w:bCs/>
          <w:sz w:val="24"/>
          <w:szCs w:val="24"/>
          <w:lang w:eastAsia="it-IT"/>
        </w:rPr>
        <w:t>tra queste</w:t>
      </w:r>
      <w:r w:rsidR="00353C83">
        <w:rPr>
          <w:rFonts w:ascii="Bookman Old Style" w:eastAsia="Times New Roman" w:hAnsi="Bookman Old Style" w:cs="Arial"/>
          <w:b/>
          <w:bCs/>
          <w:sz w:val="24"/>
          <w:szCs w:val="24"/>
          <w:lang w:eastAsia="it-IT"/>
        </w:rPr>
        <w:t xml:space="preserve">, </w:t>
      </w:r>
      <w:r w:rsidR="008552F1">
        <w:rPr>
          <w:rFonts w:ascii="Bookman Old Style" w:eastAsia="Times New Roman" w:hAnsi="Bookman Old Style" w:cs="Arial"/>
          <w:b/>
          <w:bCs/>
          <w:sz w:val="24"/>
          <w:szCs w:val="24"/>
          <w:lang w:eastAsia="it-IT"/>
        </w:rPr>
        <w:t xml:space="preserve">ad esempio, </w:t>
      </w:r>
      <w:r w:rsidR="00353C83">
        <w:rPr>
          <w:rFonts w:ascii="Bookman Old Style" w:eastAsia="Times New Roman" w:hAnsi="Bookman Old Style" w:cs="Arial"/>
          <w:b/>
          <w:bCs/>
          <w:sz w:val="24"/>
          <w:szCs w:val="24"/>
          <w:lang w:eastAsia="it-IT"/>
        </w:rPr>
        <w:t xml:space="preserve">si ritiene annoverarsi anche </w:t>
      </w:r>
      <w:r w:rsidRPr="00D43FC6">
        <w:rPr>
          <w:rFonts w:ascii="Bookman Old Style" w:eastAsia="Times New Roman" w:hAnsi="Bookman Old Style" w:cs="Arial"/>
          <w:b/>
          <w:bCs/>
          <w:sz w:val="24"/>
          <w:szCs w:val="24"/>
          <w:lang w:eastAsia="it-IT"/>
        </w:rPr>
        <w:t xml:space="preserve">la </w:t>
      </w:r>
      <w:r w:rsidR="000F1478">
        <w:rPr>
          <w:rFonts w:ascii="Bookman Old Style" w:eastAsia="Times New Roman" w:hAnsi="Bookman Old Style" w:cs="Arial"/>
          <w:b/>
          <w:bCs/>
          <w:sz w:val="24"/>
          <w:szCs w:val="24"/>
          <w:lang w:eastAsia="it-IT"/>
        </w:rPr>
        <w:t xml:space="preserve">possibilità di presentare l’offerta in formato elettronico, su supporto informatico, all’interno della </w:t>
      </w:r>
      <w:r w:rsidRPr="00D43FC6">
        <w:rPr>
          <w:rFonts w:ascii="Bookman Old Style" w:eastAsia="Times New Roman" w:hAnsi="Bookman Old Style" w:cs="Arial"/>
          <w:b/>
          <w:bCs/>
          <w:sz w:val="24"/>
          <w:szCs w:val="24"/>
          <w:lang w:eastAsia="it-IT"/>
        </w:rPr>
        <w:t xml:space="preserve">busta </w:t>
      </w:r>
      <w:r w:rsidR="000F1478">
        <w:rPr>
          <w:rFonts w:ascii="Bookman Old Style" w:eastAsia="Times New Roman" w:hAnsi="Bookman Old Style" w:cs="Arial"/>
          <w:b/>
          <w:bCs/>
          <w:sz w:val="24"/>
          <w:szCs w:val="24"/>
          <w:lang w:eastAsia="it-IT"/>
        </w:rPr>
        <w:t>chiusa, sigillata e controfirmata</w:t>
      </w:r>
      <w:r w:rsidRPr="00D43FC6">
        <w:rPr>
          <w:rFonts w:ascii="Bookman Old Style" w:eastAsia="Times New Roman" w:hAnsi="Bookman Old Style" w:cs="Arial"/>
          <w:b/>
          <w:bCs/>
          <w:sz w:val="24"/>
          <w:szCs w:val="24"/>
          <w:lang w:eastAsia="it-IT"/>
        </w:rPr>
        <w:t>)</w:t>
      </w:r>
      <w:r w:rsidR="008552F1">
        <w:rPr>
          <w:rFonts w:ascii="Bookman Old Style" w:eastAsia="Times New Roman" w:hAnsi="Bookman Old Style" w:cs="Arial"/>
          <w:bCs/>
          <w:sz w:val="24"/>
          <w:szCs w:val="24"/>
          <w:lang w:eastAsia="it-IT"/>
        </w:rPr>
        <w:t>. Ovviamente, il ricorso a tali</w:t>
      </w:r>
      <w:r w:rsidRPr="00D43FC6">
        <w:rPr>
          <w:rFonts w:ascii="Bookman Old Style" w:eastAsia="Times New Roman" w:hAnsi="Bookman Old Style" w:cs="Arial"/>
          <w:bCs/>
          <w:sz w:val="24"/>
          <w:szCs w:val="24"/>
          <w:lang w:eastAsia="it-IT"/>
        </w:rPr>
        <w:t xml:space="preserve"> </w:t>
      </w:r>
      <w:r w:rsidR="008552F1">
        <w:rPr>
          <w:rFonts w:ascii="Bookman Old Style" w:eastAsia="Times New Roman" w:hAnsi="Bookman Old Style" w:cs="Arial"/>
          <w:bCs/>
          <w:sz w:val="24"/>
          <w:szCs w:val="24"/>
          <w:lang w:eastAsia="it-IT"/>
        </w:rPr>
        <w:t>altri mezzi</w:t>
      </w:r>
      <w:r w:rsidRPr="00D43FC6">
        <w:rPr>
          <w:rFonts w:ascii="Bookman Old Style" w:eastAsia="Times New Roman" w:hAnsi="Bookman Old Style" w:cs="Arial"/>
          <w:bCs/>
          <w:sz w:val="24"/>
          <w:szCs w:val="24"/>
          <w:lang w:eastAsia="it-IT"/>
        </w:rPr>
        <w:t>, costituendo una deroga,</w:t>
      </w:r>
      <w:r w:rsidR="00353C83">
        <w:rPr>
          <w:rFonts w:ascii="Bookman Old Style" w:eastAsia="Times New Roman" w:hAnsi="Bookman Old Style" w:cs="Arial"/>
          <w:bCs/>
          <w:sz w:val="24"/>
          <w:szCs w:val="24"/>
          <w:lang w:eastAsia="it-IT"/>
        </w:rPr>
        <w:t xml:space="preserve"> </w:t>
      </w:r>
      <w:r w:rsidRPr="00D43FC6">
        <w:rPr>
          <w:rFonts w:ascii="Bookman Old Style" w:eastAsia="Times New Roman" w:hAnsi="Bookman Old Style" w:cs="Arial"/>
          <w:bCs/>
          <w:sz w:val="24"/>
          <w:szCs w:val="24"/>
          <w:lang w:eastAsia="it-IT"/>
        </w:rPr>
        <w:t>andrà motivato nei termini an</w:t>
      </w:r>
      <w:r w:rsidR="008552F1">
        <w:rPr>
          <w:rFonts w:ascii="Bookman Old Style" w:eastAsia="Times New Roman" w:hAnsi="Bookman Old Style" w:cs="Arial"/>
          <w:bCs/>
          <w:sz w:val="24"/>
          <w:szCs w:val="24"/>
          <w:lang w:eastAsia="it-IT"/>
        </w:rPr>
        <w:t>zidetti, nella relazione unica ( comma 3 dell’articolo 52)</w:t>
      </w:r>
      <w:r w:rsidRPr="00D43FC6">
        <w:rPr>
          <w:rFonts w:ascii="Bookman Old Style" w:eastAsia="Times New Roman" w:hAnsi="Bookman Old Style" w:cs="Arial"/>
          <w:bCs/>
          <w:sz w:val="24"/>
          <w:szCs w:val="24"/>
          <w:lang w:eastAsia="it-IT"/>
        </w:rPr>
        <w:t>.</w:t>
      </w:r>
    </w:p>
    <w:p w:rsidR="00075D44" w:rsidRDefault="00075D44"/>
    <w:sectPr w:rsidR="00075D44" w:rsidSect="00D43FC6">
      <w:pgSz w:w="11900" w:h="16838"/>
      <w:pgMar w:top="726" w:right="1066" w:bottom="794"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C19"/>
    <w:multiLevelType w:val="hybridMultilevel"/>
    <w:tmpl w:val="F654819E"/>
    <w:lvl w:ilvl="0" w:tplc="210A0008">
      <w:start w:val="1"/>
      <w:numFmt w:val="lowerLetter"/>
      <w:lvlText w:val="%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855508"/>
    <w:multiLevelType w:val="hybridMultilevel"/>
    <w:tmpl w:val="23D400D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3F38157B"/>
    <w:multiLevelType w:val="hybridMultilevel"/>
    <w:tmpl w:val="4566E500"/>
    <w:lvl w:ilvl="0" w:tplc="20E68E36">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C6"/>
    <w:rsid w:val="00075D44"/>
    <w:rsid w:val="000F1478"/>
    <w:rsid w:val="001537F8"/>
    <w:rsid w:val="001A5386"/>
    <w:rsid w:val="00353C83"/>
    <w:rsid w:val="003819F7"/>
    <w:rsid w:val="007E5114"/>
    <w:rsid w:val="008478EC"/>
    <w:rsid w:val="008552F1"/>
    <w:rsid w:val="008722F5"/>
    <w:rsid w:val="009D4788"/>
    <w:rsid w:val="009E7CC0"/>
    <w:rsid w:val="00AD7E25"/>
    <w:rsid w:val="00B0794B"/>
    <w:rsid w:val="00C22372"/>
    <w:rsid w:val="00D43FC6"/>
    <w:rsid w:val="00DB1F4A"/>
    <w:rsid w:val="00E25EC3"/>
    <w:rsid w:val="00EA2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3F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FC6"/>
    <w:rPr>
      <w:rFonts w:ascii="Tahoma" w:hAnsi="Tahoma" w:cs="Tahoma"/>
      <w:sz w:val="16"/>
      <w:szCs w:val="16"/>
    </w:rPr>
  </w:style>
  <w:style w:type="paragraph" w:styleId="Paragrafoelenco">
    <w:name w:val="List Paragraph"/>
    <w:basedOn w:val="Normale"/>
    <w:uiPriority w:val="34"/>
    <w:qFormat/>
    <w:rsid w:val="00C223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3F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FC6"/>
    <w:rPr>
      <w:rFonts w:ascii="Tahoma" w:hAnsi="Tahoma" w:cs="Tahoma"/>
      <w:sz w:val="16"/>
      <w:szCs w:val="16"/>
    </w:rPr>
  </w:style>
  <w:style w:type="paragraph" w:styleId="Paragrafoelenco">
    <w:name w:val="List Paragraph"/>
    <w:basedOn w:val="Normale"/>
    <w:uiPriority w:val="34"/>
    <w:qFormat/>
    <w:rsid w:val="00C22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AE5C-1F79-4B73-9491-FC6BA5E7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1545</Words>
  <Characters>8809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l.dionigi</dc:creator>
  <cp:lastModifiedBy>Studio</cp:lastModifiedBy>
  <cp:revision>3</cp:revision>
  <dcterms:created xsi:type="dcterms:W3CDTF">2018-10-25T12:54:00Z</dcterms:created>
  <dcterms:modified xsi:type="dcterms:W3CDTF">2018-10-25T12:59:00Z</dcterms:modified>
</cp:coreProperties>
</file>