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AC" w:rsidRDefault="006963ED" w:rsidP="00F40CAC">
      <w:pPr>
        <w:pBdr>
          <w:bottom w:val="single" w:sz="6" w:space="0" w:color="E2E2E2"/>
        </w:pBdr>
        <w:shd w:val="clear" w:color="auto" w:fill="FEFEFE"/>
        <w:spacing w:after="120" w:line="240" w:lineRule="auto"/>
        <w:ind w:right="150"/>
        <w:jc w:val="center"/>
        <w:textAlignment w:val="baseline"/>
        <w:rPr>
          <w:rFonts w:ascii="Arial" w:hAnsi="Arial" w:cs="Arial"/>
          <w:b/>
          <w:bCs/>
          <w:color w:val="313131"/>
          <w:shd w:val="clear" w:color="auto" w:fill="FEFEFE"/>
        </w:rPr>
      </w:pPr>
      <w:r>
        <w:rPr>
          <w:rFonts w:ascii="Arial" w:hAnsi="Arial" w:cs="Arial"/>
          <w:b/>
          <w:bCs/>
          <w:color w:val="313131"/>
          <w:shd w:val="clear" w:color="auto" w:fill="FEFEFE"/>
        </w:rPr>
        <w:t xml:space="preserve">I CONTRATTI PUBBLICI: IL REGIME GIURIDICO INTERNAZIONALE, </w:t>
      </w:r>
    </w:p>
    <w:p w:rsidR="006963ED" w:rsidRDefault="006963ED" w:rsidP="00F40CAC">
      <w:pPr>
        <w:pBdr>
          <w:bottom w:val="single" w:sz="6" w:space="0" w:color="E2E2E2"/>
        </w:pBdr>
        <w:shd w:val="clear" w:color="auto" w:fill="FEFEFE"/>
        <w:spacing w:after="120" w:line="240" w:lineRule="auto"/>
        <w:ind w:right="150"/>
        <w:jc w:val="center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  <w:r>
        <w:rPr>
          <w:rFonts w:ascii="Arial" w:hAnsi="Arial" w:cs="Arial"/>
          <w:b/>
          <w:bCs/>
          <w:color w:val="313131"/>
          <w:shd w:val="clear" w:color="auto" w:fill="FEFEFE"/>
        </w:rPr>
        <w:t>COMUNITARIO E NAZIONALE</w:t>
      </w:r>
    </w:p>
    <w:p w:rsidR="006963ED" w:rsidRDefault="006963ED" w:rsidP="006963ED">
      <w:pPr>
        <w:pBdr>
          <w:bottom w:val="single" w:sz="6" w:space="0" w:color="E2E2E2"/>
        </w:pBdr>
        <w:shd w:val="clear" w:color="auto" w:fill="FEFEFE"/>
        <w:spacing w:after="120" w:line="240" w:lineRule="auto"/>
        <w:ind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</w:p>
    <w:p w:rsidR="00871037" w:rsidRDefault="00871037" w:rsidP="006963ED">
      <w:pPr>
        <w:pBdr>
          <w:bottom w:val="single" w:sz="6" w:space="0" w:color="E2E2E2"/>
        </w:pBdr>
        <w:shd w:val="clear" w:color="auto" w:fill="FEFEFE"/>
        <w:spacing w:after="120" w:line="240" w:lineRule="auto"/>
        <w:ind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  <w:bookmarkStart w:id="0" w:name="_GoBack"/>
      <w:bookmarkEnd w:id="0"/>
    </w:p>
    <w:p w:rsidR="00871037" w:rsidRDefault="00871037" w:rsidP="006963ED">
      <w:pPr>
        <w:pBdr>
          <w:bottom w:val="single" w:sz="6" w:space="0" w:color="E2E2E2"/>
        </w:pBdr>
        <w:shd w:val="clear" w:color="auto" w:fill="FEFEFE"/>
        <w:spacing w:after="120" w:line="240" w:lineRule="auto"/>
        <w:ind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>Milano, 13 ottobre 2018</w:t>
      </w:r>
    </w:p>
    <w:p w:rsidR="00BE5C18" w:rsidRDefault="00BE5C18" w:rsidP="00871037">
      <w:pPr>
        <w:pBdr>
          <w:bottom w:val="single" w:sz="6" w:space="0" w:color="E2E2E2"/>
        </w:pBdr>
        <w:shd w:val="clear" w:color="auto" w:fill="FEFEFE"/>
        <w:spacing w:after="120" w:line="240" w:lineRule="auto"/>
        <w:ind w:left="150"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</w:p>
    <w:p w:rsidR="006963ED" w:rsidRPr="006963ED" w:rsidRDefault="006963ED" w:rsidP="00871037">
      <w:pPr>
        <w:pBdr>
          <w:bottom w:val="single" w:sz="6" w:space="0" w:color="E2E2E2"/>
        </w:pBdr>
        <w:shd w:val="clear" w:color="auto" w:fill="FEFEFE"/>
        <w:spacing w:after="120" w:line="240" w:lineRule="auto"/>
        <w:ind w:left="150"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 xml:space="preserve">LA NORMATIVA COMUNITARIA E NAZIONALE IN MATERIA DI APPALTI E CONCESSIONI E LA DISAMINA DEI SINGOLI ASPETTI (Parte I): SOGGETTI </w:t>
      </w:r>
      <w:proofErr w:type="gramStart"/>
      <w:r w:rsidRPr="006963ED"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>ED</w:t>
      </w:r>
      <w:proofErr w:type="gramEnd"/>
      <w:r w:rsidRPr="006963ED"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 xml:space="preserve"> OGGETTO, LE GARE, I PROFILI ORGANIZZATIVI, I CONCORRENTI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La ricostruzione della normativa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 normativa comunitaria e nazionale in materia di appalti e concessioni;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nuovo Codice dei Contratti: la ricostruzione della normativa;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ruolo di ANAC e il </w:t>
      </w:r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 xml:space="preserve">soft </w:t>
      </w:r>
      <w:proofErr w:type="spellStart"/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>low</w:t>
      </w:r>
      <w:proofErr w:type="spell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ruolo della giurisprudenza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La disamina delle singole parti: </w:t>
      </w:r>
      <w:proofErr w:type="gramStart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soggetti ed oggetto</w:t>
      </w:r>
      <w:proofErr w:type="gramEnd"/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l’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ambito soggettivo: quali sono i soggetti coinvolti dalla normativa e con quali differenze;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centralità della definizione di organismo di diritto pubblico e di stazione appaltante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peculiarità degli enti aggiudicatori e delle imprese pubbliche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l’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ambito oggettivo: appalti, concessioni PPP e altro.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Le esclusioni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Le peculiarità dei lavori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La disamina delle singole parti: le gare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le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procedure: </w:t>
      </w:r>
      <w:proofErr w:type="spell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soprasoglia</w:t>
      </w:r>
      <w:proofErr w:type="spell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; </w:t>
      </w:r>
      <w:proofErr w:type="spell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sottosoglia</w:t>
      </w:r>
      <w:proofErr w:type="spell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e la centralizzazione degli acquisti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La disamina delle singole parti: i profili organizzativi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 ruolo del RUP e la qualificazione della Stazione appaltante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 soggetti della stazione appaltanti coinvolti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 redazione degli atti di gara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La disamina delle singole parti: i concorrenti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requisiti di partecipazione: RTI, Consorzi, imprese singole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 </w:t>
      </w:r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 xml:space="preserve">self </w:t>
      </w:r>
      <w:proofErr w:type="spellStart"/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>cleaning</w:t>
      </w:r>
      <w:proofErr w:type="spell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 e i conflitti di interesse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il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DGUE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verifica dei requisiti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verifica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degli atti dei concorrenti: chi dichiara cosa e cosa si produce in gara</w:t>
      </w:r>
    </w:p>
    <w:p w:rsidR="006963ED" w:rsidRPr="006963ED" w:rsidRDefault="006963ED" w:rsidP="006963ED">
      <w:pPr>
        <w:numPr>
          <w:ilvl w:val="0"/>
          <w:numId w:val="1"/>
        </w:numPr>
        <w:shd w:val="clear" w:color="auto" w:fill="FEFEFE"/>
        <w:spacing w:after="75" w:line="240" w:lineRule="atLeast"/>
        <w:ind w:left="150"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E5050"/>
          <w:sz w:val="18"/>
          <w:szCs w:val="18"/>
          <w:lang w:eastAsia="it-IT"/>
        </w:rPr>
        <w:t xml:space="preserve">Lezione </w:t>
      </w:r>
      <w:proofErr w:type="gramStart"/>
      <w:r w:rsidRPr="006963ED">
        <w:rPr>
          <w:rFonts w:ascii="Arial" w:eastAsia="Times New Roman" w:hAnsi="Arial" w:cs="Arial"/>
          <w:b/>
          <w:bCs/>
          <w:color w:val="4E5050"/>
          <w:sz w:val="18"/>
          <w:szCs w:val="18"/>
          <w:lang w:eastAsia="it-IT"/>
        </w:rPr>
        <w:t>2</w:t>
      </w:r>
      <w:proofErr w:type="gramEnd"/>
      <w:r w:rsidRPr="006963ED">
        <w:rPr>
          <w:rFonts w:ascii="Arial" w:eastAsia="Times New Roman" w:hAnsi="Arial" w:cs="Arial"/>
          <w:b/>
          <w:bCs/>
          <w:color w:val="4E5050"/>
          <w:sz w:val="18"/>
          <w:szCs w:val="18"/>
          <w:lang w:eastAsia="it-IT"/>
        </w:rPr>
        <w:t xml:space="preserve"> , Sabato 13/10/2018 (pomeriggio)</w:t>
      </w:r>
    </w:p>
    <w:p w:rsidR="006963ED" w:rsidRPr="006963ED" w:rsidRDefault="006963ED" w:rsidP="006963ED">
      <w:pPr>
        <w:shd w:val="clear" w:color="auto" w:fill="FEFEFE"/>
        <w:spacing w:after="120" w:line="240" w:lineRule="auto"/>
        <w:ind w:left="150" w:right="150"/>
        <w:jc w:val="both"/>
        <w:textAlignment w:val="baseline"/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</w:pPr>
      <w:proofErr w:type="gramStart"/>
      <w:r w:rsidRPr="006963ED"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>LA DISAMINA DEI SINGOLI ASPETTI (Parte II): LA SEDUTA DI GARA, DALLA STIPULAZIONE ALL’ESECUZIONE, IL RUOLO DI ANAC TRA TRASPARENZA VIGILANZA</w:t>
      </w:r>
      <w:proofErr w:type="gramEnd"/>
      <w:r w:rsidRPr="006963ED">
        <w:rPr>
          <w:rFonts w:ascii="Arial" w:eastAsia="Times New Roman" w:hAnsi="Arial" w:cs="Arial"/>
          <w:b/>
          <w:bCs/>
          <w:color w:val="4E5050"/>
          <w:sz w:val="21"/>
          <w:szCs w:val="21"/>
          <w:lang w:eastAsia="it-IT"/>
        </w:rPr>
        <w:t xml:space="preserve"> E ANTICORRUZIONE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La disamina delle singole parti: la seduta di gara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Commissione giudicatrice;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i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criteri di aggiudicazione;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le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offerte anomale;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 La disamina delle singole parti: dalla stipulazione all’esecuzione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stipulazione e lo </w:t>
      </w:r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 xml:space="preserve">stand </w:t>
      </w:r>
      <w:proofErr w:type="spellStart"/>
      <w:r w:rsidRPr="006963ED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it-IT"/>
        </w:rPr>
        <w:t>still</w:t>
      </w:r>
      <w:proofErr w:type="spell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esecuzione del contratto: DL e DEC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le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modifiche al contratto;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risoluzione del contratto;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la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gestione delle controversie;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La disamina delle singole parti: il ruolo di ANAC </w:t>
      </w:r>
      <w:proofErr w:type="gramStart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tra</w:t>
      </w:r>
      <w:proofErr w:type="gramEnd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 trasparenza vigilanza e anticorruzione.</w:t>
      </w:r>
    </w:p>
    <w:p w:rsidR="006963ED" w:rsidRPr="006963ED" w:rsidRDefault="006963ED" w:rsidP="006963ED">
      <w:pPr>
        <w:numPr>
          <w:ilvl w:val="1"/>
          <w:numId w:val="1"/>
        </w:numPr>
        <w:shd w:val="clear" w:color="auto" w:fill="FEFEFE"/>
        <w:spacing w:after="0" w:line="240" w:lineRule="atLeast"/>
        <w:ind w:left="60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proofErr w:type="gramStart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>gli</w:t>
      </w:r>
      <w:proofErr w:type="gramEnd"/>
      <w:r w:rsidRPr="006963ED">
        <w:rPr>
          <w:rFonts w:ascii="Arial" w:eastAsia="Times New Roman" w:hAnsi="Arial" w:cs="Arial"/>
          <w:color w:val="404040"/>
          <w:sz w:val="18"/>
          <w:szCs w:val="18"/>
          <w:lang w:eastAsia="it-IT"/>
        </w:rPr>
        <w:t xml:space="preserve"> adempimenti presso ANAC;</w:t>
      </w:r>
    </w:p>
    <w:p w:rsidR="006963ED" w:rsidRPr="006963ED" w:rsidRDefault="006963ED" w:rsidP="006963ED">
      <w:pPr>
        <w:shd w:val="clear" w:color="auto" w:fill="FEFEFE"/>
        <w:spacing w:after="0" w:line="36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it-IT"/>
        </w:rPr>
      </w:pPr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Simulazione procedimento sopra e </w:t>
      </w:r>
      <w:proofErr w:type="spellStart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sottosoglia</w:t>
      </w:r>
      <w:proofErr w:type="spellEnd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 dalla delibera a contrarre sino </w:t>
      </w:r>
      <w:proofErr w:type="gramStart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 xml:space="preserve">alla </w:t>
      </w:r>
      <w:proofErr w:type="gramEnd"/>
      <w:r w:rsidRPr="006963ED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it-IT"/>
        </w:rPr>
        <w:t>aggiudicazione: predisposizione atti per la partecipazione.</w:t>
      </w:r>
    </w:p>
    <w:p w:rsidR="00A117FA" w:rsidRDefault="00A117FA"/>
    <w:sectPr w:rsidR="00A117FA" w:rsidSect="00BE5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7146"/>
    <w:multiLevelType w:val="multilevel"/>
    <w:tmpl w:val="DA5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32"/>
    <w:rsid w:val="002B7607"/>
    <w:rsid w:val="002B7632"/>
    <w:rsid w:val="003F1CD2"/>
    <w:rsid w:val="006963ED"/>
    <w:rsid w:val="00871037"/>
    <w:rsid w:val="00992883"/>
    <w:rsid w:val="00A117FA"/>
    <w:rsid w:val="00BE5C18"/>
    <w:rsid w:val="00CA080F"/>
    <w:rsid w:val="00F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07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07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1988</Characters>
  <Application>Microsoft Office Word</Application>
  <DocSecurity>0</DocSecurity>
  <Lines>16</Lines>
  <Paragraphs>4</Paragraphs>
  <ScaleCrop>false</ScaleCrop>
  <Company>x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2018-10-05T08:30:00Z</dcterms:created>
  <dcterms:modified xsi:type="dcterms:W3CDTF">2018-10-05T09:18:00Z</dcterms:modified>
</cp:coreProperties>
</file>