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2E" w:rsidRPr="0009332E" w:rsidRDefault="0009332E" w:rsidP="0009332E">
      <w:pPr>
        <w:spacing w:after="30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933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La Banca degli operatori economici (BDOE): la fine di AVCPass</w:t>
      </w:r>
    </w:p>
    <w:p w:rsidR="0009332E" w:rsidRPr="0009332E" w:rsidRDefault="0009332E" w:rsidP="0009332E">
      <w:pPr>
        <w:spacing w:after="30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9332E" w:rsidRPr="0009332E" w:rsidRDefault="0009332E" w:rsidP="0009332E">
      <w:pPr>
        <w:spacing w:after="30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9332E">
        <w:rPr>
          <w:rFonts w:ascii="Times New Roman" w:eastAsia="Times New Roman" w:hAnsi="Times New Roman" w:cs="Times New Roman"/>
          <w:sz w:val="28"/>
          <w:szCs w:val="28"/>
          <w:lang w:eastAsia="it-IT"/>
        </w:rPr>
        <w:t>Sassari, 6 novembre 2018</w:t>
      </w:r>
    </w:p>
    <w:p w:rsidR="0009332E" w:rsidRPr="0009332E" w:rsidRDefault="0009332E" w:rsidP="0009332E">
      <w:pPr>
        <w:spacing w:after="30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9332E" w:rsidRPr="0009332E" w:rsidRDefault="0009332E" w:rsidP="0009332E">
      <w:pP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</w:pPr>
      <w:r w:rsidRPr="0009332E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Programma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La verifica del possesso dei requisiti per la partecipazione e l’aggiudicazione.</w:t>
      </w:r>
      <w:proofErr w:type="gramEnd"/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Le dichiarazioni rese in gara e il DGUE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Cs/>
          <w:sz w:val="24"/>
          <w:szCs w:val="24"/>
          <w:lang w:eastAsia="it-IT"/>
        </w:rPr>
        <w:t>Le verifiche delle dichiarazioni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Le linee guida </w:t>
      </w:r>
      <w:proofErr w:type="gramStart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sul</w:t>
      </w:r>
      <w:proofErr w:type="gramEnd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sottosoglia</w:t>
      </w:r>
      <w:proofErr w:type="spellEnd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e la semplificazione 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I requisiti e la loro verifica nelle gare </w:t>
      </w:r>
      <w:proofErr w:type="spellStart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Consip</w:t>
      </w:r>
      <w:proofErr w:type="spellEnd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e nel </w:t>
      </w:r>
      <w:proofErr w:type="spellStart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Mepa</w:t>
      </w:r>
      <w:proofErr w:type="spellEnd"/>
      <w:proofErr w:type="gramEnd"/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Lo stato della giurisprudenza sulle problematiche legate alle verifiche dei </w:t>
      </w:r>
      <w:proofErr w:type="gramStart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requisiti</w:t>
      </w:r>
      <w:proofErr w:type="gramEnd"/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La </w:t>
      </w:r>
      <w:proofErr w:type="gramEnd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istituzione della Banca dati operatori economici all’art. 81 del Codice dei Contratti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Cs/>
          <w:sz w:val="24"/>
          <w:szCs w:val="24"/>
          <w:lang w:eastAsia="it-IT"/>
        </w:rPr>
        <w:t>Il passaggio da AVCPASS a BDOE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Le differenze dei due sistemi 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Il parere del Consiglio di Stato sul dm istitutivo 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/>
          <w:sz w:val="24"/>
          <w:szCs w:val="24"/>
          <w:lang w:eastAsia="it-IT"/>
        </w:rPr>
        <w:t>La BDOE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sz w:val="24"/>
          <w:szCs w:val="24"/>
          <w:lang w:eastAsia="it-IT"/>
        </w:rPr>
        <w:t xml:space="preserve">Per quali fasi del procedimento si </w:t>
      </w:r>
      <w:proofErr w:type="gramStart"/>
      <w:r w:rsidRPr="0009332E">
        <w:rPr>
          <w:rFonts w:ascii="Times New Roman" w:hAnsi="Times New Roman" w:cs="Times New Roman"/>
          <w:sz w:val="24"/>
          <w:szCs w:val="24"/>
          <w:lang w:eastAsia="it-IT"/>
        </w:rPr>
        <w:t>utilizza</w:t>
      </w:r>
      <w:proofErr w:type="gramEnd"/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sz w:val="24"/>
          <w:szCs w:val="24"/>
          <w:lang w:eastAsia="it-IT"/>
        </w:rPr>
        <w:t xml:space="preserve">Per </w:t>
      </w:r>
      <w:proofErr w:type="gramStart"/>
      <w:r w:rsidRPr="0009332E">
        <w:rPr>
          <w:rFonts w:ascii="Times New Roman" w:hAnsi="Times New Roman" w:cs="Times New Roman"/>
          <w:sz w:val="24"/>
          <w:szCs w:val="24"/>
          <w:lang w:eastAsia="it-IT"/>
        </w:rPr>
        <w:t>quali gara</w:t>
      </w:r>
      <w:proofErr w:type="gramEnd"/>
      <w:r w:rsidRPr="0009332E">
        <w:rPr>
          <w:rFonts w:ascii="Times New Roman" w:hAnsi="Times New Roman" w:cs="Times New Roman"/>
          <w:sz w:val="24"/>
          <w:szCs w:val="24"/>
          <w:lang w:eastAsia="it-IT"/>
        </w:rPr>
        <w:t xml:space="preserve"> si utilizza 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sz w:val="24"/>
          <w:szCs w:val="24"/>
          <w:lang w:eastAsia="it-IT"/>
        </w:rPr>
        <w:t>Per quali operatori economici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proofErr w:type="gramStart"/>
      <w:r w:rsidRPr="0009332E">
        <w:rPr>
          <w:rFonts w:ascii="Times New Roman" w:hAnsi="Times New Roman" w:cs="Times New Roman"/>
          <w:sz w:val="24"/>
          <w:szCs w:val="24"/>
          <w:lang w:eastAsia="it-IT"/>
        </w:rPr>
        <w:t xml:space="preserve">La </w:t>
      </w:r>
      <w:proofErr w:type="gramEnd"/>
      <w:r w:rsidRPr="0009332E">
        <w:rPr>
          <w:rFonts w:ascii="Times New Roman" w:hAnsi="Times New Roman" w:cs="Times New Roman"/>
          <w:sz w:val="24"/>
          <w:szCs w:val="24"/>
          <w:lang w:eastAsia="it-IT"/>
        </w:rPr>
        <w:t>istituenda Banca  degli operatori economici: la consultazione avviata dal MIT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Le banche dati esistente</w:t>
      </w:r>
      <w:proofErr w:type="gramEnd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negli appalti.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sz w:val="24"/>
          <w:szCs w:val="24"/>
          <w:lang w:eastAsia="it-IT"/>
        </w:rPr>
        <w:t>La Banca dati nazionale dei contratti pubblici</w:t>
      </w:r>
      <w:proofErr w:type="gramStart"/>
      <w:r w:rsidRPr="0009332E">
        <w:rPr>
          <w:rFonts w:ascii="Times New Roman" w:hAnsi="Times New Roman" w:cs="Times New Roman"/>
          <w:sz w:val="24"/>
          <w:szCs w:val="24"/>
          <w:lang w:eastAsia="it-IT"/>
        </w:rPr>
        <w:t xml:space="preserve">  </w:t>
      </w:r>
      <w:proofErr w:type="gramEnd"/>
      <w:r w:rsidRPr="0009332E">
        <w:rPr>
          <w:rFonts w:ascii="Times New Roman" w:hAnsi="Times New Roman" w:cs="Times New Roman"/>
          <w:sz w:val="24"/>
          <w:szCs w:val="24"/>
          <w:lang w:eastAsia="it-IT"/>
        </w:rPr>
        <w:t>e la Banca dati nazionale unica della documentazione antimafia</w:t>
      </w:r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09332E" w:rsidRPr="0009332E" w:rsidRDefault="0009332E" w:rsidP="0009332E">
      <w:pPr>
        <w:spacing w:before="150" w:after="15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09332E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  <w:t xml:space="preserve">Le </w:t>
      </w:r>
      <w:proofErr w:type="gramStart"/>
      <w:r w:rsidRPr="0009332E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  <w:t>modalità</w:t>
      </w:r>
      <w:proofErr w:type="gramEnd"/>
      <w:r w:rsidRPr="0009332E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  <w:t xml:space="preserve"> operative</w:t>
      </w:r>
      <w:r w:rsidRPr="0009332E"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 xml:space="preserve"> </w:t>
      </w:r>
    </w:p>
    <w:p w:rsidR="0009332E" w:rsidRPr="0009332E" w:rsidRDefault="0009332E" w:rsidP="0009332E">
      <w:pPr>
        <w:spacing w:before="150" w:after="15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hyperlink r:id="rId5" w:history="1">
        <w:r w:rsidRPr="0009332E">
          <w:rPr>
            <w:rFonts w:ascii="Times New Roman" w:hAnsi="Times New Roman"/>
            <w:sz w:val="24"/>
            <w:szCs w:val="24"/>
          </w:rPr>
          <w:t xml:space="preserve">Dati concernenti la partecipazione alle gare </w:t>
        </w:r>
        <w:proofErr w:type="gramStart"/>
        <w:r w:rsidRPr="0009332E">
          <w:rPr>
            <w:rFonts w:ascii="Times New Roman" w:hAnsi="Times New Roman"/>
            <w:sz w:val="24"/>
            <w:szCs w:val="24"/>
          </w:rPr>
          <w:t>in relazione ai</w:t>
        </w:r>
        <w:proofErr w:type="gramEnd"/>
        <w:r w:rsidRPr="0009332E">
          <w:rPr>
            <w:rFonts w:ascii="Times New Roman" w:hAnsi="Times New Roman"/>
            <w:sz w:val="24"/>
            <w:szCs w:val="24"/>
          </w:rPr>
          <w:t xml:space="preserve"> quali è obbligatoria l'inclusione della documentazione nella BDOE</w:t>
        </w:r>
      </w:hyperlink>
    </w:p>
    <w:p w:rsidR="0009332E" w:rsidRPr="0009332E" w:rsidRDefault="0009332E" w:rsidP="0009332E">
      <w:pPr>
        <w:spacing w:before="150" w:after="150"/>
        <w:jc w:val="both"/>
        <w:rPr>
          <w:rFonts w:ascii="Times New Roman" w:hAnsi="Times New Roman"/>
          <w:sz w:val="24"/>
          <w:szCs w:val="24"/>
          <w:lang w:eastAsia="it-IT"/>
        </w:rPr>
      </w:pPr>
      <w:hyperlink r:id="rId6" w:history="1">
        <w:r w:rsidRPr="0009332E">
          <w:rPr>
            <w:rFonts w:ascii="Times New Roman" w:hAnsi="Times New Roman"/>
            <w:sz w:val="24"/>
            <w:szCs w:val="24"/>
          </w:rPr>
          <w:t xml:space="preserve">Dati diversi da quelli per i quali </w:t>
        </w:r>
        <w:proofErr w:type="gramStart"/>
        <w:r w:rsidRPr="0009332E">
          <w:rPr>
            <w:rFonts w:ascii="Times New Roman" w:hAnsi="Times New Roman"/>
            <w:sz w:val="24"/>
            <w:szCs w:val="24"/>
          </w:rPr>
          <w:t>è prevista</w:t>
        </w:r>
        <w:proofErr w:type="gramEnd"/>
        <w:r w:rsidRPr="0009332E">
          <w:rPr>
            <w:rFonts w:ascii="Times New Roman" w:hAnsi="Times New Roman"/>
            <w:sz w:val="24"/>
            <w:szCs w:val="24"/>
          </w:rPr>
          <w:t xml:space="preserve"> l'inclusione della documentazione nella BDOE</w:t>
        </w:r>
      </w:hyperlink>
    </w:p>
    <w:p w:rsidR="0009332E" w:rsidRPr="0009332E" w:rsidRDefault="0009332E" w:rsidP="0009332E">
      <w:pPr>
        <w:spacing w:before="150" w:after="150"/>
        <w:jc w:val="both"/>
        <w:rPr>
          <w:rFonts w:ascii="Times New Roman" w:hAnsi="Times New Roman"/>
          <w:sz w:val="24"/>
          <w:szCs w:val="24"/>
          <w:lang w:eastAsia="it-IT"/>
        </w:rPr>
      </w:pPr>
      <w:hyperlink r:id="rId7" w:history="1">
        <w:r w:rsidRPr="0009332E">
          <w:rPr>
            <w:rFonts w:ascii="Times New Roman" w:hAnsi="Times New Roman"/>
            <w:sz w:val="24"/>
            <w:szCs w:val="24"/>
          </w:rPr>
          <w:t>Acquisizione e aggiornamento dei dati per la comprova dei requisiti</w:t>
        </w:r>
      </w:hyperlink>
    </w:p>
    <w:p w:rsidR="0009332E" w:rsidRPr="0009332E" w:rsidRDefault="0009332E" w:rsidP="0009332E">
      <w:pPr>
        <w:jc w:val="both"/>
        <w:rPr>
          <w:rFonts w:ascii="Times New Roman" w:hAnsi="Times New Roman"/>
          <w:sz w:val="24"/>
          <w:szCs w:val="24"/>
          <w:lang w:eastAsia="it-IT"/>
        </w:rPr>
      </w:pPr>
      <w:hyperlink r:id="rId8" w:history="1">
        <w:proofErr w:type="gramStart"/>
        <w:r w:rsidRPr="0009332E">
          <w:rPr>
            <w:rFonts w:ascii="Times New Roman" w:hAnsi="Times New Roman"/>
            <w:sz w:val="24"/>
            <w:szCs w:val="24"/>
          </w:rPr>
          <w:t>Modalità</w:t>
        </w:r>
        <w:proofErr w:type="gramEnd"/>
        <w:r w:rsidRPr="0009332E">
          <w:rPr>
            <w:rFonts w:ascii="Times New Roman" w:hAnsi="Times New Roman"/>
            <w:sz w:val="24"/>
            <w:szCs w:val="24"/>
          </w:rPr>
          <w:t xml:space="preserve"> relative alla progressiva accessibilità al sistema di gestione informatica dei documenti necessari a comprovare i requisiti di partecipazione e l'assenza di cause di esclusione</w:t>
        </w:r>
      </w:hyperlink>
    </w:p>
    <w:p w:rsidR="0009332E" w:rsidRPr="0009332E" w:rsidRDefault="0009332E" w:rsidP="0009332E">
      <w:pPr>
        <w:spacing w:before="150" w:after="150"/>
        <w:jc w:val="both"/>
        <w:rPr>
          <w:rFonts w:ascii="Times New Roman" w:hAnsi="Times New Roman"/>
          <w:sz w:val="24"/>
          <w:szCs w:val="24"/>
          <w:lang w:eastAsia="it-IT"/>
        </w:rPr>
      </w:pPr>
      <w:hyperlink r:id="rId9" w:history="1">
        <w:r w:rsidRPr="0009332E">
          <w:rPr>
            <w:rFonts w:ascii="Times New Roman" w:hAnsi="Times New Roman"/>
            <w:sz w:val="24"/>
            <w:szCs w:val="24"/>
          </w:rPr>
          <w:t xml:space="preserve">Disposizioni per la fase transitoria per l’interoperabilità con altre banche dati </w:t>
        </w:r>
      </w:hyperlink>
    </w:p>
    <w:p w:rsidR="0009332E" w:rsidRPr="0009332E" w:rsidRDefault="0009332E" w:rsidP="0009332E">
      <w:pPr>
        <w:spacing w:before="150" w:after="150"/>
        <w:jc w:val="both"/>
        <w:rPr>
          <w:rFonts w:ascii="Times New Roman" w:hAnsi="Times New Roman"/>
          <w:sz w:val="24"/>
          <w:szCs w:val="24"/>
          <w:lang w:eastAsia="it-IT"/>
        </w:rPr>
      </w:pPr>
      <w:hyperlink r:id="rId10" w:history="1">
        <w:r w:rsidRPr="0009332E">
          <w:rPr>
            <w:rFonts w:ascii="Times New Roman" w:hAnsi="Times New Roman"/>
            <w:sz w:val="24"/>
            <w:szCs w:val="24"/>
          </w:rPr>
          <w:t>Utenti e profili funzionali</w:t>
        </w:r>
      </w:hyperlink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 soggetti</w:t>
      </w:r>
      <w:proofErr w:type="gramStart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 </w:t>
      </w:r>
      <w:proofErr w:type="gramEnd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PA che possono operare nel sistema e gli obblighi di registrazione.</w:t>
      </w:r>
      <w:r w:rsidRPr="0009332E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L’apporto degli operatori economici</w:t>
      </w:r>
      <w:r w:rsidRPr="0009332E">
        <w:rPr>
          <w:rFonts w:ascii="Times New Roman" w:hAnsi="Times New Roman" w:cs="Times New Roman"/>
          <w:sz w:val="24"/>
          <w:szCs w:val="24"/>
          <w:lang w:eastAsia="it-IT"/>
        </w:rPr>
        <w:t>: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L’apporto delle amministrazioni certificanti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L’apporto del soggetto gestore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Disciplina degli atti di accesso alla documentazione </w:t>
      </w:r>
      <w:proofErr w:type="gramStart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gramEnd"/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gara</w:t>
      </w:r>
    </w:p>
    <w:p w:rsidR="0009332E" w:rsidRPr="0009332E" w:rsidRDefault="0009332E" w:rsidP="0009332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09332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Gli aspetti irrisolti</w:t>
      </w:r>
    </w:p>
    <w:p w:rsidR="00A117FA" w:rsidRDefault="00A117FA">
      <w:bookmarkStart w:id="0" w:name="_GoBack"/>
      <w:bookmarkEnd w:id="0"/>
    </w:p>
    <w:sectPr w:rsidR="00A117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2E"/>
    <w:rsid w:val="0009332E"/>
    <w:rsid w:val="002B7607"/>
    <w:rsid w:val="00992883"/>
    <w:rsid w:val="00A117FA"/>
    <w:rsid w:val="00C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07"/>
  </w:style>
  <w:style w:type="paragraph" w:styleId="Titolo2">
    <w:name w:val="heading 2"/>
    <w:basedOn w:val="Normale"/>
    <w:link w:val="Titolo2Carattere"/>
    <w:uiPriority w:val="9"/>
    <w:qFormat/>
    <w:rsid w:val="002B7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760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2B76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07"/>
  </w:style>
  <w:style w:type="paragraph" w:styleId="Titolo2">
    <w:name w:val="heading 2"/>
    <w:basedOn w:val="Normale"/>
    <w:link w:val="Titolo2Carattere"/>
    <w:uiPriority w:val="9"/>
    <w:qFormat/>
    <w:rsid w:val="002B7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760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2B7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enta.formez.it/ch/BDOE/?id_speech=1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menta.formez.it/ch/BDOE/?id_speech=16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menta.formez.it/ch/BDOE/?id_speech=1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mmenta.formez.it/ch/BDOE/?id_speech=166" TargetMode="External"/><Relationship Id="rId10" Type="http://schemas.openxmlformats.org/officeDocument/2006/relationships/hyperlink" Target="http://commenta.formez.it/ch/BDOE/?id_speech=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menta.formez.it/ch/BDOE/?id_speech=17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2018-10-01T12:00:00Z</dcterms:created>
  <dcterms:modified xsi:type="dcterms:W3CDTF">2018-10-01T12:01:00Z</dcterms:modified>
</cp:coreProperties>
</file>