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C362B" w:rsidRPr="00EC362B" w:rsidRDefault="00EC362B" w:rsidP="00EC362B">
      <w:pPr>
        <w:shd w:val="clear" w:color="auto" w:fill="FFFFFF"/>
        <w:jc w:val="both"/>
        <w:rPr>
          <w:rFonts w:ascii="Times New Roman" w:eastAsia="Times New Roman" w:hAnsi="Times New Roman" w:cs="Times New Roman"/>
          <w:color w:val="222222"/>
          <w:lang w:eastAsia="it-IT"/>
        </w:rPr>
      </w:pPr>
      <w:r w:rsidRPr="00EC362B">
        <w:rPr>
          <w:rFonts w:ascii="Trebuchet MS" w:eastAsia="Times New Roman" w:hAnsi="Trebuchet MS" w:cs="Times New Roman"/>
          <w:b/>
          <w:bCs/>
          <w:color w:val="222222"/>
          <w:lang w:eastAsia="it-IT"/>
        </w:rPr>
        <w:t>PROGRAMMA</w:t>
      </w:r>
    </w:p>
    <w:p w:rsidR="00EC362B" w:rsidRDefault="00EC362B" w:rsidP="00EC362B">
      <w:pPr>
        <w:shd w:val="clear" w:color="auto" w:fill="FFFFFF"/>
        <w:jc w:val="both"/>
        <w:rPr>
          <w:rFonts w:ascii="Trebuchet MS" w:eastAsia="Times New Roman" w:hAnsi="Trebuchet MS" w:cs="Times New Roman"/>
          <w:b/>
          <w:bCs/>
          <w:color w:val="000000"/>
          <w:lang w:eastAsia="it-IT"/>
        </w:rPr>
      </w:pPr>
    </w:p>
    <w:p w:rsidR="00EC362B" w:rsidRPr="00EC362B" w:rsidRDefault="00EC362B" w:rsidP="00EC362B">
      <w:pPr>
        <w:shd w:val="clear" w:color="auto" w:fill="FFFFFF"/>
        <w:jc w:val="both"/>
        <w:rPr>
          <w:rFonts w:ascii="Times New Roman" w:eastAsia="Times New Roman" w:hAnsi="Times New Roman" w:cs="Times New Roman"/>
          <w:color w:val="222222"/>
          <w:lang w:eastAsia="it-IT"/>
        </w:rPr>
      </w:pPr>
      <w:r w:rsidRPr="00EC362B">
        <w:rPr>
          <w:rFonts w:ascii="Trebuchet MS" w:eastAsia="Times New Roman" w:hAnsi="Trebuchet MS" w:cs="Times New Roman"/>
          <w:b/>
          <w:bCs/>
          <w:color w:val="000000"/>
          <w:lang w:eastAsia="it-IT"/>
        </w:rPr>
        <w:t>Prima Giornata: cosa sono gli appalti.</w:t>
      </w:r>
    </w:p>
    <w:p w:rsidR="00EC362B" w:rsidRPr="00EC362B" w:rsidRDefault="00EC362B" w:rsidP="00EC362B">
      <w:pPr>
        <w:shd w:val="clear" w:color="auto" w:fill="FFFFFF"/>
        <w:jc w:val="both"/>
        <w:rPr>
          <w:rFonts w:ascii="Times New Roman" w:eastAsia="Times New Roman" w:hAnsi="Times New Roman" w:cs="Times New Roman"/>
          <w:color w:val="222222"/>
          <w:lang w:eastAsia="it-IT"/>
        </w:rPr>
      </w:pPr>
      <w:r w:rsidRPr="00EC362B">
        <w:rPr>
          <w:rFonts w:ascii="Trebuchet MS" w:eastAsia="Times New Roman" w:hAnsi="Trebuchet MS" w:cs="Times New Roman"/>
          <w:b/>
          <w:bCs/>
          <w:color w:val="000000"/>
          <w:lang w:eastAsia="it-IT"/>
        </w:rPr>
        <w:t>La Definizione di contratto di appalto. </w:t>
      </w:r>
      <w:r w:rsidRPr="00EC362B">
        <w:rPr>
          <w:rFonts w:ascii="Trebuchet MS" w:eastAsia="Times New Roman" w:hAnsi="Trebuchet MS" w:cs="Times New Roman"/>
          <w:color w:val="000000"/>
          <w:lang w:eastAsia="it-IT"/>
        </w:rPr>
        <w:t>Ricostruzione della normativa tra codice civile e codice dei contratti. La impostazione comunitaria delle direttive e il loro recepimento.</w:t>
      </w:r>
      <w:r w:rsidRPr="00EC362B">
        <w:rPr>
          <w:rFonts w:ascii="Trebuchet MS" w:eastAsia="Times New Roman" w:hAnsi="Trebuchet MS" w:cs="Times New Roman"/>
          <w:b/>
          <w:bCs/>
          <w:color w:val="000000"/>
          <w:lang w:eastAsia="it-IT"/>
        </w:rPr>
        <w:t>La Definizione di lavori, forniture e servizi e altri contratti.La definizioni del procedimento: dalla programmazione alla esecuzione di un contratto: </w:t>
      </w:r>
      <w:r w:rsidRPr="00EC362B">
        <w:rPr>
          <w:rFonts w:ascii="Trebuchet MS" w:eastAsia="Times New Roman" w:hAnsi="Trebuchet MS" w:cs="Times New Roman"/>
          <w:color w:val="000000"/>
          <w:lang w:eastAsia="it-IT"/>
        </w:rPr>
        <w:t>definizione di soglia comunitarie e non, bando di gara, disciplinare capitolato, progetto, contratto, procedura di scelta, affidamento diretto, procedura negoziata, consultazioni di mercato, indagine di mercato, requisiti, concorrente, partecipante, raggruppamento temporaneo, elenco dei fornitori, seduta di gara, offerta, soccorso istruttorio, criterio di aggiudicazione, offerta anomala, offerta congrua, metodo antiturbativa, esecuzione del contratto, subappalto. </w:t>
      </w:r>
      <w:r w:rsidRPr="00EC362B">
        <w:rPr>
          <w:rFonts w:ascii="Trebuchet MS" w:eastAsia="Times New Roman" w:hAnsi="Trebuchet MS" w:cs="Times New Roman"/>
          <w:b/>
          <w:bCs/>
          <w:color w:val="222222"/>
          <w:lang w:eastAsia="it-IT"/>
        </w:rPr>
        <w:t>La individuazione del RUP e chi collabora con il RUP. la linea guida n. 3.</w:t>
      </w:r>
    </w:p>
    <w:p w:rsidR="00EC362B" w:rsidRPr="00EC362B" w:rsidRDefault="00EC362B" w:rsidP="00EC362B">
      <w:pPr>
        <w:shd w:val="clear" w:color="auto" w:fill="FFFFFF"/>
        <w:jc w:val="both"/>
        <w:rPr>
          <w:rFonts w:ascii="Times New Roman" w:eastAsia="Times New Roman" w:hAnsi="Times New Roman" w:cs="Times New Roman"/>
          <w:color w:val="222222"/>
          <w:lang w:eastAsia="it-IT"/>
        </w:rPr>
      </w:pPr>
      <w:r w:rsidRPr="00EC362B">
        <w:rPr>
          <w:rFonts w:ascii="Calibri" w:eastAsia="Times New Roman" w:hAnsi="Calibri" w:cs="Calibri"/>
          <w:b/>
          <w:bCs/>
          <w:color w:val="222222"/>
          <w:lang w:eastAsia="it-IT"/>
        </w:rPr>
        <w:t> </w:t>
      </w:r>
    </w:p>
    <w:p w:rsidR="00EC362B" w:rsidRPr="00EC362B" w:rsidRDefault="00EC362B" w:rsidP="00EC362B">
      <w:pPr>
        <w:shd w:val="clear" w:color="auto" w:fill="FFFFFF"/>
        <w:jc w:val="both"/>
        <w:rPr>
          <w:rFonts w:ascii="Times New Roman" w:eastAsia="Times New Roman" w:hAnsi="Times New Roman" w:cs="Times New Roman"/>
          <w:color w:val="222222"/>
          <w:lang w:eastAsia="it-IT"/>
        </w:rPr>
      </w:pPr>
      <w:r w:rsidRPr="00EC362B">
        <w:rPr>
          <w:rFonts w:ascii="Trebuchet MS" w:eastAsia="Times New Roman" w:hAnsi="Trebuchet MS" w:cs="Times New Roman"/>
          <w:b/>
          <w:bCs/>
          <w:color w:val="000000"/>
          <w:lang w:eastAsia="it-IT"/>
        </w:rPr>
        <w:t>Seconda giornata: chi interviene nel procedimento e come si struttura il procedimento di affidamento sopra e sotto soglia.</w:t>
      </w:r>
    </w:p>
    <w:p w:rsidR="00EC362B" w:rsidRPr="00EC362B" w:rsidRDefault="00EC362B" w:rsidP="00EC362B">
      <w:pPr>
        <w:shd w:val="clear" w:color="auto" w:fill="FFFFFF"/>
        <w:jc w:val="both"/>
        <w:rPr>
          <w:rFonts w:ascii="Times New Roman" w:eastAsia="Times New Roman" w:hAnsi="Times New Roman" w:cs="Times New Roman"/>
          <w:color w:val="222222"/>
          <w:lang w:eastAsia="it-IT"/>
        </w:rPr>
      </w:pPr>
      <w:r w:rsidRPr="00EC362B">
        <w:rPr>
          <w:rFonts w:ascii="Trebuchet MS" w:eastAsia="Times New Roman" w:hAnsi="Trebuchet MS" w:cs="Times New Roman"/>
          <w:b/>
          <w:bCs/>
          <w:color w:val="222222"/>
          <w:lang w:eastAsia="it-IT"/>
        </w:rPr>
        <w:t>La disciplina dell’art. 36 del codice dei contratti</w:t>
      </w:r>
      <w:r w:rsidRPr="00EC362B">
        <w:rPr>
          <w:rFonts w:ascii="Trebuchet MS" w:eastAsia="Times New Roman" w:hAnsi="Trebuchet MS" w:cs="Times New Roman"/>
          <w:color w:val="222222"/>
          <w:lang w:eastAsia="it-IT"/>
        </w:rPr>
        <w:t>. Gli affidamenti diretti sotto i 40.000 euro. La linee guida n. 4. Il criterio di rotazione degli inviti: la spaccatura della giurisprudenza.</w:t>
      </w:r>
    </w:p>
    <w:p w:rsidR="00EC362B" w:rsidRPr="00EC362B" w:rsidRDefault="00EC362B" w:rsidP="00EC362B">
      <w:pPr>
        <w:shd w:val="clear" w:color="auto" w:fill="FFFFFF"/>
        <w:jc w:val="both"/>
        <w:rPr>
          <w:rFonts w:ascii="Times New Roman" w:eastAsia="Times New Roman" w:hAnsi="Times New Roman" w:cs="Times New Roman"/>
          <w:color w:val="222222"/>
          <w:lang w:eastAsia="it-IT"/>
        </w:rPr>
      </w:pPr>
      <w:r w:rsidRPr="00EC362B">
        <w:rPr>
          <w:rFonts w:ascii="Trebuchet MS" w:eastAsia="Times New Roman" w:hAnsi="Trebuchet MS" w:cs="Times New Roman"/>
          <w:b/>
          <w:bCs/>
          <w:color w:val="222222"/>
          <w:lang w:eastAsia="it-IT"/>
        </w:rPr>
        <w:t>Le procedure soprasoglia. </w:t>
      </w:r>
      <w:r w:rsidRPr="00EC362B">
        <w:rPr>
          <w:rFonts w:ascii="Trebuchet MS" w:eastAsia="Times New Roman" w:hAnsi="Trebuchet MS" w:cs="Times New Roman"/>
          <w:color w:val="222222"/>
          <w:lang w:eastAsia="it-IT"/>
        </w:rPr>
        <w:t>La scelta della procedura. La struttura della gara. Il regime pubblicitario e il regime documentale.</w:t>
      </w:r>
    </w:p>
    <w:p w:rsidR="00EC362B" w:rsidRPr="00EC362B" w:rsidRDefault="00EC362B" w:rsidP="00EC362B">
      <w:pPr>
        <w:shd w:val="clear" w:color="auto" w:fill="FFFFFF"/>
        <w:jc w:val="both"/>
        <w:rPr>
          <w:rFonts w:ascii="Times New Roman" w:eastAsia="Times New Roman" w:hAnsi="Times New Roman" w:cs="Times New Roman"/>
          <w:color w:val="222222"/>
          <w:lang w:eastAsia="it-IT"/>
        </w:rPr>
      </w:pPr>
      <w:r w:rsidRPr="00EC362B">
        <w:rPr>
          <w:rFonts w:ascii="Trebuchet MS" w:eastAsia="Times New Roman" w:hAnsi="Trebuchet MS" w:cs="Times New Roman"/>
          <w:b/>
          <w:bCs/>
          <w:color w:val="222222"/>
          <w:lang w:eastAsia="it-IT"/>
        </w:rPr>
        <w:t>I requisiti di partecipazione: </w:t>
      </w:r>
      <w:r w:rsidRPr="00EC362B">
        <w:rPr>
          <w:rFonts w:ascii="Trebuchet MS" w:eastAsia="Times New Roman" w:hAnsi="Trebuchet MS" w:cs="Times New Roman"/>
          <w:color w:val="222222"/>
          <w:lang w:eastAsia="it-IT"/>
        </w:rPr>
        <w:t>Avvalimento e subappalto. Il DGUE. L’offerta e i criteri di aggiudicazione. Il procedimento di aggiudicazione. Seggio di gara o commissione. La Linea guida n. 5. Il verbale di gara</w:t>
      </w:r>
      <w:r w:rsidRPr="00EC362B">
        <w:rPr>
          <w:rFonts w:ascii="Trebuchet MS" w:eastAsia="Times New Roman" w:hAnsi="Trebuchet MS" w:cs="Times New Roman"/>
          <w:b/>
          <w:bCs/>
          <w:color w:val="222222"/>
          <w:lang w:eastAsia="it-IT"/>
        </w:rPr>
        <w:t>. La stipulazione e la legislazione antimafia e i controlli.</w:t>
      </w:r>
    </w:p>
    <w:p w:rsidR="00EC362B" w:rsidRPr="00EC362B" w:rsidRDefault="00EC362B" w:rsidP="00EC362B">
      <w:pPr>
        <w:shd w:val="clear" w:color="auto" w:fill="FFFFFF"/>
        <w:jc w:val="both"/>
        <w:rPr>
          <w:rFonts w:ascii="Times New Roman" w:eastAsia="Times New Roman" w:hAnsi="Times New Roman" w:cs="Times New Roman"/>
          <w:color w:val="222222"/>
          <w:lang w:eastAsia="it-IT"/>
        </w:rPr>
      </w:pPr>
      <w:r w:rsidRPr="00EC362B">
        <w:rPr>
          <w:rFonts w:ascii="Calibri" w:eastAsia="Times New Roman" w:hAnsi="Calibri" w:cs="Calibri"/>
          <w:b/>
          <w:bCs/>
          <w:color w:val="000000"/>
          <w:lang w:eastAsia="it-IT"/>
        </w:rPr>
        <w:t> </w:t>
      </w:r>
    </w:p>
    <w:p w:rsidR="00EC362B" w:rsidRPr="00EC362B" w:rsidRDefault="00EC362B" w:rsidP="00EC362B">
      <w:pPr>
        <w:shd w:val="clear" w:color="auto" w:fill="FFFFFF"/>
        <w:jc w:val="both"/>
        <w:rPr>
          <w:rFonts w:ascii="Times New Roman" w:eastAsia="Times New Roman" w:hAnsi="Times New Roman" w:cs="Times New Roman"/>
          <w:color w:val="222222"/>
          <w:lang w:eastAsia="it-IT"/>
        </w:rPr>
      </w:pPr>
      <w:r w:rsidRPr="00EC362B">
        <w:rPr>
          <w:rFonts w:ascii="Trebuchet MS" w:eastAsia="Times New Roman" w:hAnsi="Trebuchet MS" w:cs="Times New Roman"/>
          <w:b/>
          <w:bCs/>
          <w:color w:val="000000"/>
          <w:lang w:eastAsia="it-IT"/>
        </w:rPr>
        <w:t>Terza giornata. Consip e Mercato elettronico della PA.</w:t>
      </w:r>
    </w:p>
    <w:p w:rsidR="00EC362B" w:rsidRPr="00EC362B" w:rsidRDefault="00EC362B" w:rsidP="00EC362B">
      <w:pPr>
        <w:shd w:val="clear" w:color="auto" w:fill="FFFFFF"/>
        <w:jc w:val="both"/>
        <w:rPr>
          <w:rFonts w:ascii="Times New Roman" w:eastAsia="Times New Roman" w:hAnsi="Times New Roman" w:cs="Times New Roman"/>
          <w:color w:val="222222"/>
          <w:lang w:eastAsia="it-IT"/>
        </w:rPr>
      </w:pPr>
      <w:r w:rsidRPr="00EC362B">
        <w:rPr>
          <w:rFonts w:ascii="Trebuchet MS" w:eastAsia="Times New Roman" w:hAnsi="Trebuchet MS" w:cs="Times New Roman"/>
          <w:b/>
          <w:bCs/>
          <w:color w:val="222222"/>
          <w:lang w:eastAsia="it-IT"/>
        </w:rPr>
        <w:t>Le acquisizioni tramite le Convenzioni Consip, il Sistema dinamico di acquisizione della Pubblica Amministrazione (SDAPA) e il Mercato elettronico della Pubblica Amministrazione (MePA).</w:t>
      </w:r>
      <w:r w:rsidRPr="00EC362B">
        <w:rPr>
          <w:rFonts w:ascii="Trebuchet MS" w:eastAsia="Times New Roman" w:hAnsi="Trebuchet MS" w:cs="Times New Roman"/>
          <w:color w:val="222222"/>
          <w:lang w:eastAsia="it-IT"/>
        </w:rPr>
        <w:t> </w:t>
      </w:r>
      <w:r w:rsidRPr="00EC362B">
        <w:rPr>
          <w:rFonts w:ascii="Trebuchet MS" w:eastAsia="Times New Roman" w:hAnsi="Trebuchet MS" w:cs="Times New Roman"/>
          <w:b/>
          <w:bCs/>
          <w:color w:val="222222"/>
          <w:lang w:eastAsia="it-IT"/>
        </w:rPr>
        <w:t>L’obbligo di utilizzo</w:t>
      </w:r>
      <w:r w:rsidRPr="00EC362B">
        <w:rPr>
          <w:rFonts w:ascii="Trebuchet MS" w:eastAsia="Times New Roman" w:hAnsi="Trebuchet MS" w:cs="Times New Roman"/>
          <w:color w:val="222222"/>
          <w:lang w:eastAsia="it-IT"/>
        </w:rPr>
        <w:t> delle Convenzioni Consip, dello SDAPA e del MePA come da </w:t>
      </w:r>
      <w:r w:rsidRPr="00EC362B">
        <w:rPr>
          <w:rFonts w:ascii="Trebuchet MS" w:eastAsia="Times New Roman" w:hAnsi="Trebuchet MS" w:cs="Times New Roman"/>
          <w:b/>
          <w:bCs/>
          <w:color w:val="222222"/>
          <w:lang w:eastAsia="it-IT"/>
        </w:rPr>
        <w:t>leggi di stabilità </w:t>
      </w:r>
      <w:r w:rsidRPr="00EC362B">
        <w:rPr>
          <w:rFonts w:ascii="Trebuchet MS" w:eastAsia="Times New Roman" w:hAnsi="Trebuchet MS" w:cs="Times New Roman"/>
          <w:color w:val="222222"/>
          <w:lang w:eastAsia="it-IT"/>
        </w:rPr>
        <w:t>e i pronunciamenti della Corte dei conti.</w:t>
      </w:r>
      <w:r w:rsidRPr="00EC362B">
        <w:rPr>
          <w:rFonts w:ascii="Trebuchet MS" w:eastAsia="Times New Roman" w:hAnsi="Trebuchet MS" w:cs="Times New Roman"/>
          <w:b/>
          <w:bCs/>
          <w:color w:val="222222"/>
          <w:lang w:eastAsia="it-IT"/>
        </w:rPr>
        <w:t>Responsabilità della Consip </w:t>
      </w:r>
      <w:r w:rsidRPr="00EC362B">
        <w:rPr>
          <w:rFonts w:ascii="Trebuchet MS" w:eastAsia="Times New Roman" w:hAnsi="Trebuchet MS" w:cs="Times New Roman"/>
          <w:color w:val="222222"/>
          <w:lang w:eastAsia="it-IT"/>
        </w:rPr>
        <w:t>sulle procedure e</w:t>
      </w:r>
      <w:r w:rsidRPr="00EC362B">
        <w:rPr>
          <w:rFonts w:ascii="Trebuchet MS" w:eastAsia="Times New Roman" w:hAnsi="Trebuchet MS" w:cs="Times New Roman"/>
          <w:b/>
          <w:bCs/>
          <w:color w:val="222222"/>
          <w:lang w:eastAsia="it-IT"/>
        </w:rPr>
        <w:t> </w:t>
      </w:r>
      <w:r w:rsidRPr="00EC362B">
        <w:rPr>
          <w:rFonts w:ascii="Trebuchet MS" w:eastAsia="Times New Roman" w:hAnsi="Trebuchet MS" w:cs="Times New Roman"/>
          <w:color w:val="222222"/>
          <w:lang w:eastAsia="it-IT"/>
        </w:rPr>
        <w:t>sugli appalti stipulati tramite Convenzioni e MePA</w:t>
      </w:r>
      <w:r w:rsidRPr="00EC362B">
        <w:rPr>
          <w:rFonts w:ascii="Trebuchet MS" w:eastAsia="Times New Roman" w:hAnsi="Trebuchet MS" w:cs="Times New Roman"/>
          <w:b/>
          <w:bCs/>
          <w:color w:val="222222"/>
          <w:lang w:eastAsia="it-IT"/>
        </w:rPr>
        <w:t>. La verifica che un appalto sia legittimo su MePA e SDAPA</w:t>
      </w:r>
      <w:r w:rsidRPr="00EC362B">
        <w:rPr>
          <w:rFonts w:ascii="Trebuchet MS" w:eastAsia="Times New Roman" w:hAnsi="Trebuchet MS" w:cs="Times New Roman"/>
          <w:color w:val="222222"/>
          <w:lang w:eastAsia="it-IT"/>
        </w:rPr>
        <w:t> in relazione all’oggetto e al valore economico.</w:t>
      </w:r>
      <w:r w:rsidRPr="00EC362B">
        <w:rPr>
          <w:rFonts w:ascii="Trebuchet MS" w:eastAsia="Times New Roman" w:hAnsi="Trebuchet MS" w:cs="Times New Roman"/>
          <w:b/>
          <w:bCs/>
          <w:color w:val="222222"/>
          <w:lang w:eastAsia="it-IT"/>
        </w:rPr>
        <w:t> Il confronto tra i fabbisogni e le Convenzioni Consip disponibili: le caratteristiche essenziali delle Convenzioni </w:t>
      </w:r>
      <w:r w:rsidRPr="00EC362B">
        <w:rPr>
          <w:rFonts w:ascii="Trebuchet MS" w:eastAsia="Times New Roman" w:hAnsi="Trebuchet MS" w:cs="Times New Roman"/>
          <w:color w:val="222222"/>
          <w:lang w:eastAsia="it-IT"/>
        </w:rPr>
        <w:t>individuate dal MEF ai sensi della l. 208/15</w:t>
      </w:r>
      <w:r w:rsidRPr="00EC362B">
        <w:rPr>
          <w:rFonts w:ascii="Trebuchet MS" w:eastAsia="Times New Roman" w:hAnsi="Trebuchet MS" w:cs="Times New Roman"/>
          <w:b/>
          <w:bCs/>
          <w:color w:val="222222"/>
          <w:lang w:eastAsia="it-IT"/>
        </w:rPr>
        <w:t>. Le procedure di acquisto tramite Convenzione, SDAPA e MePA ai sensi del Codice degli appalti e linee guida ANAC. Esempi di procedure di acquisto tramite Convenzioni e MePA.</w:t>
      </w:r>
    </w:p>
    <w:p w:rsidR="00EC362B" w:rsidRPr="00EC362B" w:rsidRDefault="00EC362B" w:rsidP="00EC362B">
      <w:pPr>
        <w:shd w:val="clear" w:color="auto" w:fill="FFFFFF"/>
        <w:jc w:val="both"/>
        <w:outlineLvl w:val="2"/>
        <w:rPr>
          <w:rFonts w:ascii="Cambria" w:eastAsia="Times New Roman" w:hAnsi="Cambria" w:cs="Times New Roman"/>
          <w:b/>
          <w:bCs/>
          <w:color w:val="4F81BD"/>
          <w:sz w:val="22"/>
          <w:szCs w:val="22"/>
          <w:lang w:eastAsia="it-IT"/>
        </w:rPr>
      </w:pPr>
      <w:r w:rsidRPr="00EC362B">
        <w:rPr>
          <w:rFonts w:ascii="Trebuchet MS" w:eastAsia="Times New Roman" w:hAnsi="Trebuchet MS" w:cs="Times New Roman"/>
          <w:b/>
          <w:bCs/>
          <w:color w:val="4F81BD"/>
          <w:lang w:eastAsia="it-IT"/>
        </w:rPr>
        <w:t> </w:t>
      </w:r>
    </w:p>
    <w:p w:rsidR="00EC362B" w:rsidRPr="00EC362B" w:rsidRDefault="00EC362B" w:rsidP="00EC362B">
      <w:pPr>
        <w:shd w:val="clear" w:color="auto" w:fill="FFFFFF"/>
        <w:jc w:val="both"/>
        <w:rPr>
          <w:rFonts w:ascii="Times New Roman" w:eastAsia="Times New Roman" w:hAnsi="Times New Roman" w:cs="Times New Roman"/>
          <w:color w:val="222222"/>
          <w:lang w:eastAsia="it-IT"/>
        </w:rPr>
      </w:pPr>
      <w:r w:rsidRPr="00EC362B">
        <w:rPr>
          <w:rFonts w:ascii="Trebuchet MS" w:eastAsia="Times New Roman" w:hAnsi="Trebuchet MS" w:cs="Times New Roman"/>
          <w:b/>
          <w:bCs/>
          <w:color w:val="000000"/>
          <w:lang w:eastAsia="it-IT"/>
        </w:rPr>
        <w:t>Quarta giornata. Chi interviene nel procedimento e come si struttura  l’esecuzione del contratto.</w:t>
      </w:r>
    </w:p>
    <w:p w:rsidR="00EC362B" w:rsidRPr="00EC362B" w:rsidRDefault="00EC362B" w:rsidP="00EC362B">
      <w:pPr>
        <w:shd w:val="clear" w:color="auto" w:fill="FFFFFF"/>
        <w:jc w:val="both"/>
        <w:rPr>
          <w:rFonts w:ascii="Times New Roman" w:eastAsia="Times New Roman" w:hAnsi="Times New Roman" w:cs="Times New Roman"/>
          <w:color w:val="222222"/>
          <w:lang w:eastAsia="it-IT"/>
        </w:rPr>
      </w:pPr>
      <w:r w:rsidRPr="00EC362B">
        <w:rPr>
          <w:rFonts w:ascii="Trebuchet MS" w:eastAsia="Times New Roman" w:hAnsi="Trebuchet MS" w:cs="Times New Roman"/>
          <w:b/>
          <w:bCs/>
          <w:color w:val="000000"/>
          <w:lang w:eastAsia="it-IT"/>
        </w:rPr>
        <w:t>Il RUP e IL DL il DEC il Collaudatore o chi verifica la esecuzione del contratto.</w:t>
      </w:r>
    </w:p>
    <w:p w:rsidR="00EC362B" w:rsidRPr="00EC362B" w:rsidRDefault="00EC362B" w:rsidP="00EC362B">
      <w:pPr>
        <w:shd w:val="clear" w:color="auto" w:fill="FFFFFF"/>
        <w:jc w:val="both"/>
        <w:rPr>
          <w:rFonts w:ascii="Times New Roman" w:eastAsia="Times New Roman" w:hAnsi="Times New Roman" w:cs="Times New Roman"/>
          <w:color w:val="222222"/>
          <w:lang w:eastAsia="it-IT"/>
        </w:rPr>
      </w:pPr>
      <w:r w:rsidRPr="00EC362B">
        <w:rPr>
          <w:rFonts w:ascii="Trebuchet MS" w:eastAsia="Times New Roman" w:hAnsi="Trebuchet MS" w:cs="Times New Roman"/>
          <w:b/>
          <w:bCs/>
          <w:color w:val="222222"/>
          <w:lang w:eastAsia="it-IT"/>
        </w:rPr>
        <w:t>L’esecuzione dei contratti: </w:t>
      </w:r>
      <w:r w:rsidRPr="00EC362B">
        <w:rPr>
          <w:rFonts w:ascii="Trebuchet MS" w:eastAsia="Times New Roman" w:hAnsi="Trebuchet MS" w:cs="Times New Roman"/>
          <w:color w:val="222222"/>
          <w:lang w:eastAsia="it-IT"/>
        </w:rPr>
        <w:t>le modifiche al contratto; proroghe; rinnovi; i ritardati pagamenti; la risoluzione del contratto, le richieste dell’appaltatore. L’accordo bonario e la transazione. Il giudizio civile. Il tribunale delle imprese.</w:t>
      </w:r>
    </w:p>
    <w:p w:rsidR="00EC362B" w:rsidRPr="00EC362B" w:rsidRDefault="00EC362B" w:rsidP="00EC362B">
      <w:pPr>
        <w:shd w:val="clear" w:color="auto" w:fill="FFFFFF"/>
        <w:jc w:val="both"/>
        <w:rPr>
          <w:rFonts w:ascii="Times New Roman" w:eastAsia="Times New Roman" w:hAnsi="Times New Roman" w:cs="Times New Roman"/>
          <w:color w:val="222222"/>
          <w:lang w:eastAsia="it-IT"/>
        </w:rPr>
      </w:pPr>
      <w:r w:rsidRPr="00EC362B">
        <w:rPr>
          <w:rFonts w:ascii="Trebuchet MS" w:eastAsia="Times New Roman" w:hAnsi="Trebuchet MS" w:cs="Times New Roman"/>
          <w:b/>
          <w:bCs/>
          <w:color w:val="222222"/>
          <w:lang w:eastAsia="it-IT"/>
        </w:rPr>
        <w:t>L’attività di controllo da parte dell’ANAC.</w:t>
      </w:r>
      <w:r w:rsidRPr="00EC362B">
        <w:rPr>
          <w:rFonts w:ascii="Trebuchet MS" w:eastAsia="Times New Roman" w:hAnsi="Trebuchet MS" w:cs="Times New Roman"/>
          <w:color w:val="222222"/>
          <w:lang w:eastAsia="it-IT"/>
        </w:rPr>
        <w:t> I poteri ispettivi e sanzionatori. </w:t>
      </w:r>
      <w:r w:rsidRPr="00EC362B">
        <w:rPr>
          <w:rFonts w:ascii="Trebuchet MS" w:eastAsia="Times New Roman" w:hAnsi="Trebuchet MS" w:cs="Times New Roman"/>
          <w:b/>
          <w:bCs/>
          <w:color w:val="222222"/>
          <w:lang w:eastAsia="it-IT"/>
        </w:rPr>
        <w:t>La responsabilità erariale per danno diretto e indiretto</w:t>
      </w:r>
      <w:r w:rsidRPr="00EC362B">
        <w:rPr>
          <w:rFonts w:ascii="Trebuchet MS" w:eastAsia="Times New Roman" w:hAnsi="Trebuchet MS" w:cs="Times New Roman"/>
          <w:color w:val="222222"/>
          <w:lang w:eastAsia="it-IT"/>
        </w:rPr>
        <w:t>. Le responsabilità derivanti da affidamenti illegittimi e dalla dichiarazione di nullità del contratto. La contestazione del reato di turbativa d’asta nella recente giurisprudenza della Cassazione.</w:t>
      </w:r>
    </w:p>
    <w:p w:rsidR="00EC362B" w:rsidRPr="00EC362B" w:rsidRDefault="00EC362B" w:rsidP="00EC362B">
      <w:pPr>
        <w:shd w:val="clear" w:color="auto" w:fill="FFFFFF"/>
        <w:jc w:val="both"/>
        <w:rPr>
          <w:rFonts w:ascii="Times New Roman" w:eastAsia="Times New Roman" w:hAnsi="Times New Roman" w:cs="Times New Roman"/>
          <w:color w:val="222222"/>
          <w:lang w:eastAsia="it-IT"/>
        </w:rPr>
      </w:pPr>
      <w:r w:rsidRPr="00EC362B">
        <w:rPr>
          <w:rFonts w:ascii="Calibri" w:eastAsia="Times New Roman" w:hAnsi="Calibri" w:cs="Calibri"/>
          <w:color w:val="222222"/>
          <w:lang w:eastAsia="it-IT"/>
        </w:rPr>
        <w:t> </w:t>
      </w:r>
      <w:bookmarkStart w:id="0" w:name="_GoBack"/>
      <w:bookmarkEnd w:id="0"/>
    </w:p>
    <w:p w:rsidR="00EC362B" w:rsidRDefault="00EC362B" w:rsidP="00EC362B">
      <w:pPr>
        <w:shd w:val="clear" w:color="auto" w:fill="FFFFFF"/>
        <w:jc w:val="both"/>
        <w:rPr>
          <w:rFonts w:ascii="Trebuchet MS" w:eastAsia="Times New Roman" w:hAnsi="Trebuchet MS" w:cs="Times New Roman"/>
          <w:b/>
          <w:bCs/>
          <w:color w:val="000000"/>
          <w:lang w:eastAsia="it-IT"/>
        </w:rPr>
      </w:pPr>
    </w:p>
    <w:p w:rsidR="00EC362B" w:rsidRPr="00EC362B" w:rsidRDefault="00EC362B" w:rsidP="00EC362B">
      <w:pPr>
        <w:shd w:val="clear" w:color="auto" w:fill="FFFFFF"/>
        <w:jc w:val="both"/>
        <w:rPr>
          <w:rFonts w:ascii="Times New Roman" w:eastAsia="Times New Roman" w:hAnsi="Times New Roman" w:cs="Times New Roman"/>
          <w:color w:val="222222"/>
          <w:lang w:eastAsia="it-IT"/>
        </w:rPr>
      </w:pPr>
      <w:r w:rsidRPr="00EC362B">
        <w:rPr>
          <w:rFonts w:ascii="Trebuchet MS" w:eastAsia="Times New Roman" w:hAnsi="Trebuchet MS" w:cs="Times New Roman"/>
          <w:b/>
          <w:bCs/>
          <w:color w:val="000000"/>
          <w:lang w:eastAsia="it-IT"/>
        </w:rPr>
        <w:lastRenderedPageBreak/>
        <w:t>Quinta Giornata. La Trasparenza, le tipologie di accesso e la privacy.</w:t>
      </w:r>
    </w:p>
    <w:p w:rsidR="00EC362B" w:rsidRPr="00EC362B" w:rsidRDefault="00EC362B" w:rsidP="00EC362B">
      <w:pPr>
        <w:shd w:val="clear" w:color="auto" w:fill="FFFFFF"/>
        <w:jc w:val="both"/>
        <w:rPr>
          <w:rFonts w:ascii="Times New Roman" w:eastAsia="Times New Roman" w:hAnsi="Times New Roman" w:cs="Times New Roman"/>
          <w:color w:val="222222"/>
          <w:lang w:eastAsia="it-IT"/>
        </w:rPr>
      </w:pPr>
      <w:r w:rsidRPr="00EC362B">
        <w:rPr>
          <w:rFonts w:ascii="Trebuchet MS" w:eastAsia="Times New Roman" w:hAnsi="Trebuchet MS" w:cs="Times New Roman"/>
          <w:b/>
          <w:bCs/>
          <w:color w:val="222222"/>
          <w:lang w:eastAsia="it-IT"/>
        </w:rPr>
        <w:t>Definizioni e principi in materia di diritto di accesso ai documenti amministrativi. L’accesso civico e i principi di pubblicità, trasparenza</w:t>
      </w:r>
      <w:r w:rsidRPr="00EC362B">
        <w:rPr>
          <w:rFonts w:ascii="Trebuchet MS" w:eastAsia="Times New Roman" w:hAnsi="Trebuchet MS" w:cs="Times New Roman"/>
          <w:color w:val="222222"/>
          <w:lang w:eastAsia="it-IT"/>
        </w:rPr>
        <w:t> e diffusione di informazioni da parte delle pubbliche amministrazioni</w:t>
      </w:r>
      <w:r w:rsidRPr="00EC362B">
        <w:rPr>
          <w:rFonts w:ascii="Trebuchet MS" w:eastAsia="Times New Roman" w:hAnsi="Trebuchet MS" w:cs="Times New Roman"/>
          <w:b/>
          <w:bCs/>
          <w:color w:val="222222"/>
          <w:lang w:eastAsia="it-IT"/>
        </w:rPr>
        <w:t>. Verso l’affermazione piena del “FOIA” </w:t>
      </w:r>
      <w:r w:rsidRPr="00EC362B">
        <w:rPr>
          <w:rFonts w:ascii="Trebuchet MS" w:eastAsia="Times New Roman" w:hAnsi="Trebuchet MS" w:cs="Times New Roman"/>
          <w:color w:val="222222"/>
          <w:lang w:eastAsia="it-IT"/>
        </w:rPr>
        <w:t>(Freedom of Information Act). </w:t>
      </w:r>
      <w:r w:rsidRPr="00EC362B">
        <w:rPr>
          <w:rFonts w:ascii="Trebuchet MS" w:eastAsia="Times New Roman" w:hAnsi="Trebuchet MS" w:cs="Times New Roman"/>
          <w:b/>
          <w:bCs/>
          <w:color w:val="222222"/>
          <w:lang w:eastAsia="it-IT"/>
        </w:rPr>
        <w:t>I rapporti tra diritto di accesso e tutela della privacy:</w:t>
      </w:r>
      <w:r w:rsidRPr="00EC362B">
        <w:rPr>
          <w:rFonts w:ascii="Trebuchet MS" w:eastAsia="Times New Roman" w:hAnsi="Trebuchet MS" w:cs="Times New Roman"/>
          <w:color w:val="222222"/>
          <w:lang w:eastAsia="it-IT"/>
        </w:rPr>
        <w:t> il trattamento dei dati personali alla luce del Regolamento UE 2016/679 (GDPR) e del d.l.vo 101/18 che adegua la normativa nazionale alle disposizioni del Regolamento; la conciliazione tra interessi contrapposti. Gli orientamenti del Garante e dei giudici amministrativi. Il ruolo dell’ANAC.</w:t>
      </w:r>
    </w:p>
    <w:p w:rsidR="00EC362B" w:rsidRPr="00EC362B" w:rsidRDefault="00EC362B" w:rsidP="00EC362B">
      <w:pPr>
        <w:shd w:val="clear" w:color="auto" w:fill="FFFFFF"/>
        <w:jc w:val="both"/>
        <w:rPr>
          <w:rFonts w:ascii="Times New Roman" w:eastAsia="Times New Roman" w:hAnsi="Times New Roman" w:cs="Times New Roman"/>
          <w:color w:val="222222"/>
          <w:lang w:eastAsia="it-IT"/>
        </w:rPr>
      </w:pPr>
      <w:r w:rsidRPr="00EC362B">
        <w:rPr>
          <w:rFonts w:ascii="Trebuchet MS" w:eastAsia="Times New Roman" w:hAnsi="Trebuchet MS" w:cs="Times New Roman"/>
          <w:color w:val="222222"/>
          <w:lang w:eastAsia="it-IT"/>
        </w:rPr>
        <w:t>L’evoluzione normativa più recente della l. 241/90 e il codice del processo amministrativo (d.l.vo 104/2010). </w:t>
      </w:r>
      <w:r w:rsidRPr="00EC362B">
        <w:rPr>
          <w:rFonts w:ascii="Trebuchet MS" w:eastAsia="Times New Roman" w:hAnsi="Trebuchet MS" w:cs="Times New Roman"/>
          <w:b/>
          <w:bCs/>
          <w:color w:val="222222"/>
          <w:lang w:eastAsia="it-IT"/>
        </w:rPr>
        <w:t>I regolamenti attuativi della l. 241/90, in particolare il d.P.R. 184/06. Le norme contenute nel d.l.vo 33/13, nella l. 124/15 e nei decreti di attuazione. Il completamento della normativa neld.l.vo 25/5/16, n. 97.</w:t>
      </w:r>
    </w:p>
    <w:p w:rsidR="00EC362B" w:rsidRPr="00EC362B" w:rsidRDefault="00EC362B" w:rsidP="00EC362B">
      <w:pPr>
        <w:shd w:val="clear" w:color="auto" w:fill="FFFFFF"/>
        <w:jc w:val="both"/>
        <w:rPr>
          <w:rFonts w:ascii="Times New Roman" w:eastAsia="Times New Roman" w:hAnsi="Times New Roman" w:cs="Times New Roman"/>
          <w:color w:val="222222"/>
          <w:lang w:eastAsia="it-IT"/>
        </w:rPr>
      </w:pPr>
      <w:r w:rsidRPr="00EC362B">
        <w:rPr>
          <w:rFonts w:ascii="Trebuchet MS" w:eastAsia="Times New Roman" w:hAnsi="Trebuchet MS" w:cs="Times New Roman"/>
          <w:color w:val="222222"/>
          <w:lang w:eastAsia="it-IT"/>
        </w:rPr>
        <w:t>Le linee guida dell’ANAC </w:t>
      </w:r>
      <w:r w:rsidRPr="00EC362B">
        <w:rPr>
          <w:rFonts w:ascii="Trebuchet MS" w:eastAsia="Times New Roman" w:hAnsi="Trebuchet MS" w:cs="Times New Roman"/>
          <w:b/>
          <w:bCs/>
          <w:color w:val="222222"/>
          <w:lang w:eastAsia="it-IT"/>
        </w:rPr>
        <w:t>(determinazione n. 1309 del 28/12/16)</w:t>
      </w:r>
      <w:r w:rsidRPr="00EC362B">
        <w:rPr>
          <w:rFonts w:ascii="Trebuchet MS" w:eastAsia="Times New Roman" w:hAnsi="Trebuchet MS" w:cs="Times New Roman"/>
          <w:color w:val="222222"/>
          <w:lang w:eastAsia="it-IT"/>
        </w:rPr>
        <w:t> recanti indicazioni operative ai fini della definizione delle esclusioni e dei limiti all'accesso civico di cui all’art. 5 co. 2 del d.l.vo 33/13.</w:t>
      </w:r>
      <w:r w:rsidRPr="00EC362B">
        <w:rPr>
          <w:rFonts w:ascii="Trebuchet MS" w:eastAsia="Times New Roman" w:hAnsi="Trebuchet MS" w:cs="Times New Roman"/>
          <w:b/>
          <w:bCs/>
          <w:color w:val="222222"/>
          <w:lang w:eastAsia="it-IT"/>
        </w:rPr>
        <w:t> Le modalità di esercizio del diritto di accesso</w:t>
      </w:r>
      <w:r w:rsidRPr="00EC362B">
        <w:rPr>
          <w:rFonts w:ascii="Trebuchet MS" w:eastAsia="Times New Roman" w:hAnsi="Trebuchet MS" w:cs="Times New Roman"/>
          <w:color w:val="222222"/>
          <w:lang w:eastAsia="it-IT"/>
        </w:rPr>
        <w:t>: l’accesso informale; il rilascio di copie e i costi; il differimento; i controinteressati. Le strutture organizzative e i compiti degli URP. </w:t>
      </w:r>
      <w:r w:rsidRPr="00EC362B">
        <w:rPr>
          <w:rFonts w:ascii="Trebuchet MS" w:eastAsia="Times New Roman" w:hAnsi="Trebuchet MS" w:cs="Times New Roman"/>
          <w:b/>
          <w:bCs/>
          <w:color w:val="222222"/>
          <w:lang w:eastAsia="it-IT"/>
        </w:rPr>
        <w:t>L’accesso ai documenti informatici:</w:t>
      </w:r>
      <w:r w:rsidRPr="00EC362B">
        <w:rPr>
          <w:rFonts w:ascii="Trebuchet MS" w:eastAsia="Times New Roman" w:hAnsi="Trebuchet MS" w:cs="Times New Roman"/>
          <w:color w:val="222222"/>
          <w:lang w:eastAsia="it-IT"/>
        </w:rPr>
        <w:t> in particolare alle registrazioni fonografiche e videofonografiche. La gestione delle banche dati. </w:t>
      </w:r>
      <w:r w:rsidRPr="00EC362B">
        <w:rPr>
          <w:rFonts w:ascii="Trebuchet MS" w:eastAsia="Times New Roman" w:hAnsi="Trebuchet MS" w:cs="Times New Roman"/>
          <w:b/>
          <w:bCs/>
          <w:color w:val="222222"/>
          <w:lang w:eastAsia="it-IT"/>
        </w:rPr>
        <w:t>Il testo unico sulla documentazione amministrativa.</w:t>
      </w:r>
      <w:r w:rsidRPr="00EC362B">
        <w:rPr>
          <w:rFonts w:ascii="Trebuchet MS" w:eastAsia="Times New Roman" w:hAnsi="Trebuchet MS" w:cs="Times New Roman"/>
          <w:color w:val="222222"/>
          <w:lang w:eastAsia="it-IT"/>
        </w:rPr>
        <w:t> L’accesso effettuato dalle P.A. Particolari modalità attuative dell’accesso civico.</w:t>
      </w:r>
      <w:r w:rsidRPr="00EC362B">
        <w:rPr>
          <w:rFonts w:ascii="Trebuchet MS" w:eastAsia="Times New Roman" w:hAnsi="Trebuchet MS" w:cs="Times New Roman"/>
          <w:b/>
          <w:bCs/>
          <w:color w:val="222222"/>
          <w:lang w:eastAsia="it-IT"/>
        </w:rPr>
        <w:t>L’accesso ai documenti in materia ambientale.</w:t>
      </w:r>
    </w:p>
    <w:p w:rsidR="00EC362B" w:rsidRPr="00EC362B" w:rsidRDefault="00EC362B" w:rsidP="00EC362B">
      <w:pPr>
        <w:shd w:val="clear" w:color="auto" w:fill="FFFFFF"/>
        <w:jc w:val="both"/>
        <w:rPr>
          <w:rFonts w:ascii="Times New Roman" w:eastAsia="Times New Roman" w:hAnsi="Times New Roman" w:cs="Times New Roman"/>
          <w:color w:val="222222"/>
          <w:lang w:eastAsia="it-IT"/>
        </w:rPr>
      </w:pPr>
      <w:r w:rsidRPr="00EC362B">
        <w:rPr>
          <w:rFonts w:ascii="Trebuchet MS" w:eastAsia="Times New Roman" w:hAnsi="Trebuchet MS" w:cs="Times New Roman"/>
          <w:b/>
          <w:bCs/>
          <w:color w:val="222222"/>
          <w:lang w:eastAsia="it-IT"/>
        </w:rPr>
        <w:t>L’accesso nelle procedure di gara per l’affidamento di contratti pubblici: le norme del codice degli appalti, d.l.vo 50/16. La tutela giurisdizionale;</w:t>
      </w:r>
      <w:r w:rsidRPr="00EC362B">
        <w:rPr>
          <w:rFonts w:ascii="Trebuchet MS" w:eastAsia="Times New Roman" w:hAnsi="Trebuchet MS" w:cs="Times New Roman"/>
          <w:color w:val="222222"/>
          <w:lang w:eastAsia="it-IT"/>
        </w:rPr>
        <w:t> il silenzio rifiuto e il suo superamento nell’accesso civico; la legittimazione e l’interesse ad agire; l’ordine di esibizione del giudice; l’ottemperanza. Il ricorso al difensore civico e alla Commissione per l’accesso. La difesa diretta dell’amministrazione e del ricorrente. Violazione del diritto di accesso e tutela risarcitoria. Il regime delle responsabilità, civili, amministrative, penali, disciplinari e contabili dei funzionari.</w:t>
      </w:r>
    </w:p>
    <w:p w:rsidR="00EC362B" w:rsidRPr="00EC362B" w:rsidRDefault="00EC362B" w:rsidP="00EC362B">
      <w:pPr>
        <w:shd w:val="clear" w:color="auto" w:fill="FFFFFF"/>
        <w:rPr>
          <w:rFonts w:ascii="Times New Roman" w:eastAsia="Times New Roman" w:hAnsi="Times New Roman" w:cs="Times New Roman"/>
          <w:color w:val="222222"/>
          <w:lang w:eastAsia="it-IT"/>
        </w:rPr>
      </w:pPr>
      <w:r w:rsidRPr="00EC362B">
        <w:rPr>
          <w:rFonts w:ascii="Helvetica" w:eastAsia="Times New Roman" w:hAnsi="Helvetica" w:cs="Times New Roman"/>
          <w:color w:val="333333"/>
          <w:sz w:val="27"/>
          <w:szCs w:val="27"/>
          <w:shd w:val="clear" w:color="auto" w:fill="FFFFFF"/>
          <w:lang w:eastAsia="it-IT"/>
        </w:rPr>
        <w:t> </w:t>
      </w:r>
    </w:p>
    <w:p w:rsidR="009E6A67" w:rsidRDefault="00EC362B"/>
    <w:sectPr w:rsidR="009E6A67" w:rsidSect="000E297B">
      <w:pgSz w:w="11900" w:h="16840"/>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62B"/>
    <w:rsid w:val="000E297B"/>
    <w:rsid w:val="00171306"/>
    <w:rsid w:val="00EC362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734478AB"/>
  <w15:chartTrackingRefBased/>
  <w15:docId w15:val="{0C7F650B-3562-A043-8583-12AFA3304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3">
    <w:name w:val="heading 3"/>
    <w:basedOn w:val="Normale"/>
    <w:link w:val="Titolo3Carattere"/>
    <w:uiPriority w:val="9"/>
    <w:qFormat/>
    <w:rsid w:val="00EC362B"/>
    <w:pPr>
      <w:spacing w:before="100" w:beforeAutospacing="1" w:after="100" w:afterAutospacing="1"/>
      <w:outlineLvl w:val="2"/>
    </w:pPr>
    <w:rPr>
      <w:rFonts w:ascii="Times New Roman" w:eastAsia="Times New Roman" w:hAnsi="Times New Roman" w:cs="Times New Roman"/>
      <w:b/>
      <w:bCs/>
      <w:sz w:val="27"/>
      <w:szCs w:val="27"/>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9"/>
    <w:rsid w:val="00EC362B"/>
    <w:rPr>
      <w:rFonts w:ascii="Times New Roman" w:eastAsia="Times New Roman" w:hAnsi="Times New Roman" w:cs="Times New Roman"/>
      <w:b/>
      <w:bCs/>
      <w:sz w:val="27"/>
      <w:szCs w:val="27"/>
      <w:lang w:eastAsia="it-IT"/>
    </w:rPr>
  </w:style>
  <w:style w:type="paragraph" w:styleId="NormaleWeb">
    <w:name w:val="Normal (Web)"/>
    <w:basedOn w:val="Normale"/>
    <w:uiPriority w:val="99"/>
    <w:semiHidden/>
    <w:unhideWhenUsed/>
    <w:rsid w:val="00EC362B"/>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EC362B"/>
    <w:rPr>
      <w:b/>
      <w:bCs/>
    </w:rPr>
  </w:style>
  <w:style w:type="character" w:customStyle="1" w:styleId="m-2451508306501645762sottotitolo">
    <w:name w:val="m_-2451508306501645762sottotitolo"/>
    <w:basedOn w:val="Carpredefinitoparagrafo"/>
    <w:rsid w:val="00EC36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985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844</Words>
  <Characters>4813</Characters>
  <Application>Microsoft Office Word</Application>
  <DocSecurity>0</DocSecurity>
  <Lines>40</Lines>
  <Paragraphs>11</Paragraphs>
  <ScaleCrop>false</ScaleCrop>
  <Company/>
  <LinksUpToDate>false</LinksUpToDate>
  <CharactersWithSpaces>5646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flaminia di rienzo</dc:creator>
  <cp:keywords/>
  <dc:description/>
  <cp:lastModifiedBy>flaminia di rienzo</cp:lastModifiedBy>
  <cp:revision>1</cp:revision>
  <dcterms:created xsi:type="dcterms:W3CDTF">2019-04-19T17:56:00Z</dcterms:created>
  <dcterms:modified xsi:type="dcterms:W3CDTF">2019-04-19T17:57:00Z</dcterms:modified>
</cp:coreProperties>
</file>